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39"/>
        <w:gridCol w:w="603"/>
        <w:gridCol w:w="239"/>
        <w:gridCol w:w="1790"/>
        <w:gridCol w:w="1430"/>
        <w:gridCol w:w="1229"/>
        <w:gridCol w:w="543"/>
        <w:gridCol w:w="621"/>
        <w:gridCol w:w="720"/>
      </w:tblGrid>
      <w:tr w:rsidR="00423537" w:rsidRPr="00423537" w:rsidTr="00423537">
        <w:trPr>
          <w:trHeight w:val="300"/>
        </w:trPr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Institute of Applied Mathematics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Semester 1. of the curriculum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2023-24-1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2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Name of the subject: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Code of the subject: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Credits: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Weekly hours: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135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lec</w:t>
            </w:r>
            <w:proofErr w:type="spellEnd"/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sem</w:t>
            </w:r>
            <w:proofErr w:type="spellEnd"/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lab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135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Algebra and number theory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NMXAS1EMNF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4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full-time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0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0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Responsible person for the subject: Dr. SZŐKE Magdolna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Classification: senior lecturer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Subject lecturer(s): 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Prerequisites</w:t>
            </w: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: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Way of the assessment:</w:t>
            </w:r>
            <w:r w:rsidRPr="0042353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exam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49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Course description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Goal: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Acquirement of basic algebraic and number theoretic notions and theorems, their application in exercises.</w:t>
            </w:r>
            <w:r w:rsidRPr="004235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Course description: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 xml:space="preserve">Operations, algebraic structures, concept of semigroup. Basics of group theory, examples of groups: cyclic, dihedral, symmetric and linear groups. Lagrange theorem, normal subgroups, factor groups, homomorphism theorem. </w:t>
            </w:r>
            <w:proofErr w:type="spellStart"/>
            <w:r w:rsidRPr="004235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Sylow</w:t>
            </w:r>
            <w:proofErr w:type="spellEnd"/>
            <w:r w:rsidRPr="004235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 xml:space="preserve"> theorems. Direct products, fundamental theorem of finite Abelian groups; simple groups. Basics of ring theory: subrings, ideals, factor rings. Integral domains, principal ideal domains, fields. Basics of number theory in integral domains, Euclidean domains. Basic concepts of Lie algebra, examples.</w:t>
            </w:r>
            <w:r w:rsidRPr="004235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51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Lecture schedule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Education week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Topic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Properties of operations, notion of semigroup.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Notion of group, examples. Subgroups, Lagrange’s theorem.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3.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Normal subgroups, factor groups, homomorphism theorem.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4.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Conjugacy classes, centraliser, centre.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5.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Sylow's</w:t>
            </w:r>
            <w:proofErr w:type="spellEnd"/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 xml:space="preserve"> theorems.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6.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Direct product, fundamental theorem of finite Abelian groups.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7.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Notion of simple group, examples.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8.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Notion of ring; subrings, ideals, factor rings.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9.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Integral domains, principal ideal domains, fields.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10.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Elements of number theory in integral domains.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11.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Euclidean algorithms, Euclidean domains.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12.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Notion of Lie algebra, examples. Lie subalgebras, ideals, factor algebras.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13.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Midterm test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14.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Test retake</w:t>
            </w:r>
            <w:r w:rsidRPr="0042353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55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Mid-term requirements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Conditions for obtaining a mid-term grade/signature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To gain at least 50% of the scores at the midterm test.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57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Assessment schedule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Education week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Topic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13.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material of the whole term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lastRenderedPageBreak/>
              <w:t>14.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Same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49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Method used to calculate the </w:t>
            </w:r>
            <w:r w:rsidRPr="004235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en-GB"/>
                <w14:ligatures w14:val="none"/>
              </w:rPr>
              <w:t>mid-term grade</w:t>
            </w: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(to be filled out only for subjects with mid-term grades)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43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Type of the replacement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Type of the replacement of written test/mid-term grade/signature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signature can be acquired in the signature retake exam (during the first 10 days of the examination period). 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42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Type of the exam </w:t>
            </w: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(to be filled out only for subjects with exams)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Oral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46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Calculation of the exam mark </w:t>
            </w: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(to be filled only for subjects with exams)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30% from the midterm test, 70% from the oral exam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​​Final grade calculation methods:​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0-49%: </w:t>
            </w:r>
            <w:proofErr w:type="gramStart"/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fail</w:t>
            </w:r>
            <w:proofErr w:type="gramEnd"/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50-61%: pass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62-73%: satisfactory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74-85%: good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86-100%: excellent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46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3537" w:rsidRPr="00423537" w:rsidRDefault="00423537" w:rsidP="004235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References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Obligatory: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D. S. </w:t>
            </w:r>
            <w:proofErr w:type="spellStart"/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Dummit</w:t>
            </w:r>
            <w:proofErr w:type="spellEnd"/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and R. M. Foote: Abstract algebra, Wiley, 2004.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Recommended: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23537" w:rsidRPr="00423537" w:rsidTr="0042353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Other references: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423537" w:rsidRPr="00423537" w:rsidRDefault="00423537" w:rsidP="004235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2353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Lecture notes uploaded to the e-learning system of the university</w:t>
            </w:r>
            <w:r w:rsidRPr="0042353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</w:tbl>
    <w:p w:rsidR="00423537" w:rsidRPr="00423537" w:rsidRDefault="00423537" w:rsidP="00423537"/>
    <w:sectPr w:rsidR="00423537" w:rsidRPr="0042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37"/>
    <w:rsid w:val="0042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68E9-E4CF-476B-A1E1-6F8EF5E9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42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l"/>
    <w:rsid w:val="0042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Bekezdsalapbettpusa"/>
    <w:rsid w:val="00423537"/>
  </w:style>
  <w:style w:type="character" w:customStyle="1" w:styleId="eop">
    <w:name w:val="eop"/>
    <w:basedOn w:val="Bekezdsalapbettpusa"/>
    <w:rsid w:val="00423537"/>
  </w:style>
  <w:style w:type="character" w:customStyle="1" w:styleId="findhit">
    <w:name w:val="findhit"/>
    <w:basedOn w:val="Bekezdsalapbettpusa"/>
    <w:rsid w:val="00423537"/>
  </w:style>
  <w:style w:type="character" w:customStyle="1" w:styleId="contentcontrolboundarysink">
    <w:name w:val="contentcontrolboundarysink"/>
    <w:basedOn w:val="Bekezdsalapbettpusa"/>
    <w:rsid w:val="0042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63185-E9AD-44EF-99A4-79D4D501703C}"/>
</file>

<file path=customXml/itemProps2.xml><?xml version="1.0" encoding="utf-8"?>
<ds:datastoreItem xmlns:ds="http://schemas.openxmlformats.org/officeDocument/2006/customXml" ds:itemID="{4CFA5BD2-4575-4F14-945B-0C7F2F665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Lazányi Kornélia</dc:creator>
  <cp:keywords/>
  <dc:description/>
  <cp:lastModifiedBy>Prof. Dr. Lazányi Kornélia</cp:lastModifiedBy>
  <cp:revision>1</cp:revision>
  <dcterms:created xsi:type="dcterms:W3CDTF">2023-06-05T15:08:00Z</dcterms:created>
  <dcterms:modified xsi:type="dcterms:W3CDTF">2023-06-05T15:15:00Z</dcterms:modified>
</cp:coreProperties>
</file>