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931"/>
        <w:gridCol w:w="2283"/>
        <w:gridCol w:w="1785"/>
      </w:tblGrid>
      <w:tr w:rsidR="00B261F7" w:rsidRPr="00E65E63" w:rsidTr="00DC4E0C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F" w:rsidRDefault="00836E8F" w:rsidP="00836E8F">
            <w:pPr>
              <w:spacing w:after="0" w:line="240" w:lineRule="auto"/>
              <w:rPr>
                <w:b/>
                <w:i/>
                <w:sz w:val="24"/>
                <w:szCs w:val="24"/>
                <w:lang w:val="en-GB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Name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subject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</w:p>
          <w:p w:rsidR="00B261F7" w:rsidRPr="00FA5931" w:rsidRDefault="00836E8F" w:rsidP="0083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836E8F">
              <w:rPr>
                <w:rFonts w:asciiTheme="majorBidi" w:hAnsiTheme="majorBidi" w:cstheme="majorBidi"/>
                <w:b/>
                <w:sz w:val="24"/>
                <w:szCs w:val="24"/>
              </w:rPr>
              <w:t>Colour</w:t>
            </w:r>
            <w:proofErr w:type="spellEnd"/>
            <w:r w:rsidRPr="00836E8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836E8F">
              <w:rPr>
                <w:rFonts w:asciiTheme="majorBidi" w:hAnsiTheme="majorBidi" w:cstheme="majorBidi"/>
                <w:b/>
                <w:sz w:val="24"/>
                <w:szCs w:val="24"/>
              </w:rPr>
              <w:t>theory</w:t>
            </w:r>
            <w:proofErr w:type="spellEnd"/>
            <w:r w:rsidRPr="00836E8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and </w:t>
            </w:r>
            <w:proofErr w:type="spellStart"/>
            <w:r w:rsidRPr="00836E8F">
              <w:rPr>
                <w:rFonts w:asciiTheme="majorBidi" w:hAnsiTheme="majorBidi" w:cstheme="majorBidi"/>
                <w:b/>
                <w:sz w:val="24"/>
                <w:szCs w:val="24"/>
              </w:rPr>
              <w:t>colorimetry</w:t>
            </w:r>
            <w:proofErr w:type="spellEnd"/>
            <w:r w:rsidRPr="00836E8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I.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F7" w:rsidRPr="00E65E63" w:rsidRDefault="00836E8F" w:rsidP="00B2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NEPTUN-code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r w:rsidRPr="00836E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RTTSZ1AENE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F" w:rsidRPr="00E65E63" w:rsidRDefault="00836E8F" w:rsidP="00836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Number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hours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 w:rsidRPr="00401141"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lec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gs</w:t>
            </w:r>
            <w:proofErr w:type="spellEnd"/>
            <w:r w:rsidRPr="00E6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+</w:t>
            </w:r>
            <w:proofErr w:type="spellStart"/>
            <w:r w:rsidRPr="00E6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</w:t>
            </w:r>
            <w:r w:rsidRPr="00E6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</w:t>
            </w:r>
            <w:proofErr w:type="spellEnd"/>
          </w:p>
          <w:p w:rsidR="00B261F7" w:rsidRPr="00E65E63" w:rsidRDefault="00B261F7" w:rsidP="00B2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2+0+2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F" w:rsidRPr="00E65E63" w:rsidRDefault="00836E8F" w:rsidP="0083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C</w:t>
            </w:r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redit</w:t>
            </w:r>
            <w:r w:rsidRPr="002B564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:</w:t>
            </w:r>
            <w:r w:rsidRPr="00E65E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4</w:t>
            </w:r>
          </w:p>
          <w:p w:rsidR="00836E8F" w:rsidRPr="00E65E63" w:rsidRDefault="00836E8F" w:rsidP="0083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R</w:t>
            </w:r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equirements</w:t>
            </w:r>
            <w:proofErr w:type="spellEnd"/>
            <w:r w:rsidRPr="002B56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 w:rsidRPr="00E65E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B261F7" w:rsidRPr="00E65E63" w:rsidRDefault="00836E8F" w:rsidP="00B2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practice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mark</w:t>
            </w:r>
          </w:p>
        </w:tc>
      </w:tr>
      <w:tr w:rsidR="00E65E63" w:rsidRPr="00E65E63" w:rsidTr="00DC4E0C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F" w:rsidRPr="00E65E63" w:rsidRDefault="00836E8F" w:rsidP="0083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Course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coordinator</w:t>
            </w:r>
            <w:proofErr w:type="spellEnd"/>
            <w:r w:rsidRPr="00E65E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</w:p>
          <w:p w:rsidR="00FC5626" w:rsidRPr="00520A0C" w:rsidRDefault="00915035" w:rsidP="00915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0A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Ákos</w:t>
            </w:r>
            <w:r w:rsidRPr="00520A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520A0C" w:rsidRPr="00520A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Borbély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Phd</w:t>
            </w:r>
            <w:bookmarkStart w:id="0" w:name="_GoBack"/>
            <w:bookmarkEnd w:id="0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F" w:rsidRPr="00E65E63" w:rsidRDefault="00836E8F" w:rsidP="0083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Title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</w:p>
          <w:p w:rsidR="00E65E63" w:rsidRPr="00E65E63" w:rsidRDefault="00836E8F" w:rsidP="00E6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36E8F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associate</w:t>
            </w:r>
            <w:proofErr w:type="spellEnd"/>
            <w:r w:rsidRPr="00836E8F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professor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F" w:rsidRPr="00E65E63" w:rsidRDefault="00836E8F" w:rsidP="0083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Prerequisite</w:t>
            </w:r>
            <w:proofErr w:type="spellEnd"/>
            <w:r w:rsidRPr="00E65E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 w:rsidRPr="00E65E6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hu-HU"/>
              </w:rPr>
              <w:t xml:space="preserve"> </w:t>
            </w:r>
          </w:p>
          <w:p w:rsidR="00E65E63" w:rsidRPr="00520A0C" w:rsidRDefault="00836E8F" w:rsidP="0083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-</w:t>
            </w:r>
          </w:p>
        </w:tc>
      </w:tr>
      <w:tr w:rsidR="00E65E63" w:rsidRPr="00E65E63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E65E63" w:rsidRDefault="00836E8F" w:rsidP="00E6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D41BF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Subject content:</w:t>
            </w:r>
          </w:p>
        </w:tc>
      </w:tr>
      <w:tr w:rsidR="00E65E63" w:rsidRPr="00E65E63" w:rsidTr="00DC4E0C">
        <w:trPr>
          <w:trHeight w:val="2419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6" w:rsidRDefault="00836E8F" w:rsidP="001539F1">
            <w:pPr>
              <w:pStyle w:val="Felsorols2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Basic notions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>olor</w:t>
            </w:r>
            <w:proofErr w:type="spellEnd"/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theory</w:t>
            </w:r>
            <w:r w:rsidR="001539F1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1539F1">
              <w:rPr>
                <w:rFonts w:ascii="Times New Roman" w:hAnsi="Times New Roman"/>
                <w:sz w:val="24"/>
                <w:szCs w:val="24"/>
                <w:lang w:val="en-GB"/>
              </w:rPr>
              <w:t>T</w:t>
            </w:r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>he physical, physiological and psychological bases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connected 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colors</w:t>
            </w:r>
            <w:proofErr w:type="spellEnd"/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>. The spectrum of electromagnetic radiation, optical radiation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The structure of the human eye, photoreceptors, the structure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of the </w:t>
            </w:r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retina.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</w:t>
            </w:r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he general context of visual performance,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</w:t>
            </w:r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basics of </w:t>
            </w:r>
            <w:proofErr w:type="spellStart"/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>color</w:t>
            </w:r>
            <w:proofErr w:type="spellEnd"/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vision, the properties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color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perception</w:t>
            </w:r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Color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features. </w:t>
            </w:r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>The factors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influencing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color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sensing</w:t>
            </w:r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>. The methods and tools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of </w:t>
            </w:r>
            <w:proofErr w:type="spellStart"/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>color</w:t>
            </w:r>
            <w:proofErr w:type="spellEnd"/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communication: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questions of </w:t>
            </w:r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subjective and objective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color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characterization;</w:t>
            </w:r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>color</w:t>
            </w:r>
            <w:proofErr w:type="spellEnd"/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systems, </w:t>
            </w:r>
            <w:proofErr w:type="spellStart"/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>color</w:t>
            </w:r>
            <w:proofErr w:type="spellEnd"/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sample atlas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es</w:t>
            </w:r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The basic principles of </w:t>
            </w:r>
            <w:proofErr w:type="spellStart"/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>color</w:t>
            </w:r>
            <w:proofErr w:type="spellEnd"/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systems.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base</w:t>
            </w:r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of</w:t>
            </w:r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>color</w:t>
            </w:r>
            <w:proofErr w:type="spellEnd"/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measurement,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objective modelling of </w:t>
            </w:r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reduced </w:t>
            </w:r>
            <w:proofErr w:type="spellStart"/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>color</w:t>
            </w:r>
            <w:proofErr w:type="spellEnd"/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vision. The methods and instruments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of </w:t>
            </w:r>
            <w:proofErr w:type="spellStart"/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>color</w:t>
            </w:r>
            <w:proofErr w:type="spellEnd"/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stimulus measuring, spectrophotometers. </w:t>
            </w:r>
            <w:proofErr w:type="spellStart"/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>Color</w:t>
            </w:r>
            <w:proofErr w:type="spellEnd"/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contrast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>Color</w:t>
            </w:r>
            <w:proofErr w:type="spellEnd"/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h</w:t>
            </w:r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armony systems.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effects and functions of </w:t>
            </w:r>
            <w:proofErr w:type="spellStart"/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>color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>colorful</w:t>
            </w:r>
            <w:proofErr w:type="spellEnd"/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environment. The basics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of</w:t>
            </w:r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>color</w:t>
            </w:r>
            <w:proofErr w:type="spellEnd"/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dynamic design,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</w:t>
            </w:r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relationships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of </w:t>
            </w:r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people and </w:t>
            </w:r>
            <w:proofErr w:type="spellStart"/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>color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proofErr w:type="spellEnd"/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special characteristics of </w:t>
            </w:r>
            <w:proofErr w:type="spellStart"/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>color</w:t>
            </w:r>
            <w:proofErr w:type="spellEnd"/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usage</w:t>
            </w:r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questions of </w:t>
            </w:r>
            <w:proofErr w:type="spellStart"/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>color</w:t>
            </w:r>
            <w:proofErr w:type="spellEnd"/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reproduction, reproducible </w:t>
            </w:r>
            <w:proofErr w:type="spellStart"/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>color</w:t>
            </w:r>
            <w:proofErr w:type="spellEnd"/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range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>Color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ful</w:t>
            </w:r>
            <w:proofErr w:type="spellEnd"/>
            <w:r w:rsidRPr="005150D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techniques.</w:t>
            </w:r>
          </w:p>
          <w:p w:rsidR="001539F1" w:rsidRPr="00836E8F" w:rsidRDefault="001539F1" w:rsidP="001539F1">
            <w:pPr>
              <w:pStyle w:val="Felsorols2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539F1">
              <w:rPr>
                <w:rFonts w:ascii="Times New Roman" w:hAnsi="Times New Roman"/>
                <w:sz w:val="24"/>
                <w:szCs w:val="24"/>
                <w:lang w:val="en-GB"/>
              </w:rPr>
              <w:t>The most important practical methods of the professional field.</w:t>
            </w:r>
          </w:p>
        </w:tc>
      </w:tr>
      <w:tr w:rsidR="00E65E63" w:rsidRPr="00E65E63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E65E63" w:rsidRDefault="00836E8F" w:rsidP="00E6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D41BF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Bibliography:</w:t>
            </w:r>
          </w:p>
        </w:tc>
      </w:tr>
      <w:tr w:rsidR="00E65E63" w:rsidRPr="00520A0C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520A0C" w:rsidRDefault="00520A0C" w:rsidP="0052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F3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5626" w:rsidRPr="00520A0C">
              <w:rPr>
                <w:rFonts w:ascii="Times New Roman" w:eastAsia="Times New Roman" w:hAnsi="Times New Roman" w:cs="Times New Roman"/>
                <w:sz w:val="24"/>
                <w:szCs w:val="24"/>
              </w:rPr>
              <w:t>Nemcsics Antal: Színdinamika. Színes környezet tervezése. Akadémiai Kiadó, Budapest,1990</w:t>
            </w:r>
          </w:p>
        </w:tc>
      </w:tr>
      <w:tr w:rsidR="00E65E63" w:rsidRPr="00E65E63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FC5626" w:rsidRDefault="00FC5626" w:rsidP="00FC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FC5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Itten, Johannes: A színek művészete. </w:t>
            </w:r>
            <w:proofErr w:type="spellStart"/>
            <w:r w:rsidRPr="00FC5626">
              <w:rPr>
                <w:rFonts w:ascii="Times New Roman" w:eastAsia="Times New Roman" w:hAnsi="Times New Roman" w:cs="Times New Roman"/>
                <w:sz w:val="24"/>
                <w:szCs w:val="24"/>
              </w:rPr>
              <w:t>Göncöl-Saxum</w:t>
            </w:r>
            <w:proofErr w:type="spellEnd"/>
            <w:r w:rsidRPr="00FC5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Kiadó, Bp.2002.</w:t>
            </w:r>
          </w:p>
        </w:tc>
      </w:tr>
      <w:tr w:rsidR="00520A0C" w:rsidRPr="00E65E63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0C" w:rsidRDefault="00520A0C" w:rsidP="00FC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A0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5" w:history="1">
              <w:r w:rsidRPr="0062032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https://elearning.uni-obuda.hu/</w:t>
              </w:r>
            </w:hyperlink>
            <w:r w:rsidRPr="0062032B"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 xml:space="preserve"> </w:t>
            </w:r>
            <w:proofErr w:type="spellStart"/>
            <w:r w:rsidR="00836E8F" w:rsidRPr="00040E65">
              <w:rPr>
                <w:rFonts w:ascii="Times New Roman" w:hAnsi="Times New Roman" w:cs="Times New Roman"/>
                <w:sz w:val="24"/>
                <w:szCs w:val="24"/>
              </w:rPr>
              <w:t>electronic</w:t>
            </w:r>
            <w:proofErr w:type="spellEnd"/>
            <w:r w:rsidR="00836E8F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6E8F" w:rsidRPr="00040E65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  <w:proofErr w:type="spellEnd"/>
            <w:r w:rsidR="00836E8F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E8F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="00836E8F">
              <w:rPr>
                <w:rFonts w:ascii="Times New Roman" w:hAnsi="Times New Roman" w:cs="Times New Roman"/>
                <w:sz w:val="24"/>
                <w:szCs w:val="24"/>
              </w:rPr>
              <w:t>aids</w:t>
            </w:r>
            <w:proofErr w:type="spellEnd"/>
            <w:r w:rsidR="00836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6E8F" w:rsidRPr="00040E65">
              <w:rPr>
                <w:rFonts w:ascii="Times New Roman" w:hAnsi="Times New Roman" w:cs="Times New Roman"/>
                <w:sz w:val="24"/>
                <w:szCs w:val="24"/>
              </w:rPr>
              <w:t>prepared</w:t>
            </w:r>
            <w:proofErr w:type="spellEnd"/>
            <w:r w:rsidR="00836E8F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6E8F" w:rsidRPr="00040E65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="00836E8F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6E8F" w:rsidRPr="00040E6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836E8F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6E8F" w:rsidRPr="00040E65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  <w:proofErr w:type="spellEnd"/>
          </w:p>
        </w:tc>
      </w:tr>
    </w:tbl>
    <w:p w:rsidR="008A69E9" w:rsidRDefault="008A69E9"/>
    <w:sectPr w:rsidR="008A6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4B6017C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EB4916"/>
    <w:multiLevelType w:val="hybridMultilevel"/>
    <w:tmpl w:val="83C8F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94DA1"/>
    <w:multiLevelType w:val="hybridMultilevel"/>
    <w:tmpl w:val="E5B60C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03880"/>
    <w:multiLevelType w:val="hybridMultilevel"/>
    <w:tmpl w:val="91529D76"/>
    <w:lvl w:ilvl="0" w:tplc="00C834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DC12912"/>
    <w:multiLevelType w:val="hybridMultilevel"/>
    <w:tmpl w:val="DD1ADC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F03F5"/>
    <w:multiLevelType w:val="hybridMultilevel"/>
    <w:tmpl w:val="684230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63"/>
    <w:rsid w:val="001539F1"/>
    <w:rsid w:val="00520A0C"/>
    <w:rsid w:val="00836E8F"/>
    <w:rsid w:val="008A69E9"/>
    <w:rsid w:val="00915035"/>
    <w:rsid w:val="00B261F7"/>
    <w:rsid w:val="00DD3729"/>
    <w:rsid w:val="00E65E63"/>
    <w:rsid w:val="00EF33A7"/>
    <w:rsid w:val="00FA5931"/>
    <w:rsid w:val="00FC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91BC4-9DF1-4904-8BFB-C9D170A5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2">
    <w:name w:val="List Bullet 2"/>
    <w:basedOn w:val="Norml"/>
    <w:uiPriority w:val="99"/>
    <w:unhideWhenUsed/>
    <w:rsid w:val="00FC5626"/>
    <w:pPr>
      <w:numPr>
        <w:numId w:val="1"/>
      </w:numPr>
      <w:contextualSpacing/>
    </w:pPr>
  </w:style>
  <w:style w:type="paragraph" w:styleId="Listaszerbekezds">
    <w:name w:val="List Paragraph"/>
    <w:basedOn w:val="Norml"/>
    <w:uiPriority w:val="34"/>
    <w:qFormat/>
    <w:rsid w:val="00FC5626"/>
    <w:pPr>
      <w:ind w:left="720"/>
      <w:contextualSpacing/>
    </w:pPr>
  </w:style>
  <w:style w:type="character" w:styleId="Hiperhivatkozs">
    <w:name w:val="Hyperlink"/>
    <w:uiPriority w:val="99"/>
    <w:unhideWhenUsed/>
    <w:rsid w:val="00520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arning.uni-obuda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Koltai László</dc:creator>
  <cp:lastModifiedBy>TTI_351</cp:lastModifiedBy>
  <cp:revision>4</cp:revision>
  <dcterms:created xsi:type="dcterms:W3CDTF">2016-11-23T15:28:00Z</dcterms:created>
  <dcterms:modified xsi:type="dcterms:W3CDTF">2017-01-12T13:06:00Z</dcterms:modified>
</cp:coreProperties>
</file>