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37" w:type="dxa"/>
        <w:shd w:val="clear" w:color="auto" w:fill="CCE29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7"/>
        <w:gridCol w:w="1334"/>
        <w:gridCol w:w="1356"/>
        <w:gridCol w:w="401"/>
        <w:gridCol w:w="1470"/>
        <w:gridCol w:w="401"/>
        <w:gridCol w:w="768"/>
        <w:gridCol w:w="369"/>
        <w:gridCol w:w="1622"/>
        <w:gridCol w:w="1086"/>
      </w:tblGrid>
      <w:tr w:rsidR="008D3C9D" w:rsidRPr="006418F3" w14:paraId="6CEBC002" w14:textId="77777777" w:rsidTr="00366C4A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</w:tcPr>
          <w:p w14:paraId="0EF69C39" w14:textId="77777777" w:rsidR="008D3C9D" w:rsidRPr="006418F3" w:rsidRDefault="008D3C9D" w:rsidP="005922B1">
            <w:pPr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50A534E9" w14:textId="4454C5C1" w:rsidR="008D3C9D" w:rsidRPr="008D3C9D" w:rsidRDefault="008D3C9D" w:rsidP="008D3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Óbuda University</w:t>
            </w:r>
            <w:r>
              <w:rPr>
                <w:b/>
                <w:bCs/>
              </w:rPr>
              <w:br/>
              <w:t xml:space="preserve">Keleti </w:t>
            </w:r>
            <w:proofErr w:type="spellStart"/>
            <w:r>
              <w:rPr>
                <w:b/>
                <w:bCs/>
              </w:rPr>
              <w:t>Faculty</w:t>
            </w:r>
            <w:proofErr w:type="spellEnd"/>
            <w:r>
              <w:rPr>
                <w:b/>
                <w:bCs/>
              </w:rPr>
              <w:t xml:space="preserve"> of Business and Management</w:t>
            </w:r>
          </w:p>
        </w:tc>
      </w:tr>
      <w:tr w:rsidR="00711CA0" w:rsidRPr="006418F3" w14:paraId="1CF566BA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</w:tcPr>
          <w:p w14:paraId="4051714C" w14:textId="7B1003EE" w:rsidR="005922B1" w:rsidRPr="006418F3" w:rsidRDefault="005922B1" w:rsidP="005922B1">
            <w:pPr>
              <w:jc w:val="right"/>
              <w:rPr>
                <w:b/>
                <w:bCs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Unit of </w:t>
            </w:r>
            <w:r w:rsidR="00B5124B" w:rsidRPr="006418F3">
              <w:rPr>
                <w:b/>
                <w:bCs/>
                <w:lang w:val="en-GB"/>
              </w:rPr>
              <w:t>S</w:t>
            </w:r>
            <w:r w:rsidRPr="006418F3">
              <w:rPr>
                <w:b/>
                <w:bCs/>
                <w:lang w:val="en-GB"/>
              </w:rPr>
              <w:t>tudy: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14:paraId="0F74383E" w14:textId="378390DB" w:rsidR="005922B1" w:rsidRPr="006418F3" w:rsidRDefault="00EC316B" w:rsidP="005922B1">
            <w:pPr>
              <w:rPr>
                <w:lang w:val="en-GB"/>
              </w:rPr>
            </w:pPr>
            <w:r w:rsidRPr="00EC316B">
              <w:rPr>
                <w:lang w:val="en-GB"/>
              </w:rPr>
              <w:t>Basics of Accountancy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</w:tcPr>
          <w:p w14:paraId="789E6EDF" w14:textId="0CE2DD93" w:rsidR="005922B1" w:rsidRPr="006418F3" w:rsidRDefault="005922B1" w:rsidP="005922B1">
            <w:pPr>
              <w:jc w:val="right"/>
              <w:rPr>
                <w:b/>
                <w:bCs/>
                <w:lang w:val="en-GB"/>
              </w:rPr>
            </w:pPr>
            <w:r w:rsidRPr="006418F3">
              <w:rPr>
                <w:b/>
                <w:bCs/>
                <w:lang w:val="en-GB"/>
              </w:rPr>
              <w:t>Subject code: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11064BC" w14:textId="0D5EEE0B" w:rsidR="005922B1" w:rsidRPr="006418F3" w:rsidRDefault="005748D9" w:rsidP="00F61C60">
            <w:pPr>
              <w:rPr>
                <w:sz w:val="24"/>
                <w:szCs w:val="24"/>
                <w:lang w:val="en-GB"/>
              </w:rPr>
            </w:pPr>
            <w:r w:rsidRPr="005748D9">
              <w:rPr>
                <w:sz w:val="24"/>
                <w:szCs w:val="24"/>
                <w:lang w:val="en-GB"/>
              </w:rPr>
              <w:t>GVXSA1ABNE</w:t>
            </w:r>
          </w:p>
        </w:tc>
      </w:tr>
      <w:tr w:rsidR="00711CA0" w:rsidRPr="006418F3" w14:paraId="0B38DB1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D72ACBD" w14:textId="2AF9BFC7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Institute: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35986DC" w14:textId="1D7609AF" w:rsidR="005922B1" w:rsidRPr="006418F3" w:rsidRDefault="008D3C9D" w:rsidP="005922B1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Department</w:t>
            </w:r>
            <w:r w:rsidR="00711CA0" w:rsidRPr="006418F3">
              <w:rPr>
                <w:lang w:val="en-GB"/>
              </w:rPr>
              <w:t xml:space="preserve"> of Enterprise Management</w:t>
            </w:r>
            <w:r w:rsidR="005922B1" w:rsidRPr="006418F3">
              <w:rPr>
                <w:lang w:val="en-GB"/>
              </w:rPr>
              <w:t xml:space="preserve"> (1084 Budapest, </w:t>
            </w:r>
            <w:proofErr w:type="spellStart"/>
            <w:r w:rsidR="005922B1" w:rsidRPr="006418F3">
              <w:rPr>
                <w:lang w:val="en-GB"/>
              </w:rPr>
              <w:t>Tavaszmező</w:t>
            </w:r>
            <w:proofErr w:type="spellEnd"/>
            <w:r w:rsidR="005922B1" w:rsidRPr="006418F3">
              <w:rPr>
                <w:lang w:val="en-GB"/>
              </w:rPr>
              <w:t xml:space="preserve"> </w:t>
            </w:r>
            <w:r w:rsidR="00711CA0" w:rsidRPr="006418F3">
              <w:rPr>
                <w:lang w:val="en-GB"/>
              </w:rPr>
              <w:t>str</w:t>
            </w:r>
            <w:r w:rsidR="005922B1" w:rsidRPr="006418F3">
              <w:rPr>
                <w:lang w:val="en-GB"/>
              </w:rPr>
              <w:t xml:space="preserve">. 15-17.) 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1C97623E" w14:textId="1C85825A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Credits: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A0A077" w14:textId="1F3CB0A5" w:rsidR="005922B1" w:rsidRPr="006418F3" w:rsidRDefault="009B6E0B" w:rsidP="005922B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</w:tr>
      <w:tr w:rsidR="008D3C9D" w:rsidRPr="006418F3" w14:paraId="1D608BBC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F38A299" w14:textId="6FB022F8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Course type: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AC27A62" w14:textId="789302EF" w:rsidR="005922B1" w:rsidRPr="006418F3" w:rsidRDefault="003730DF" w:rsidP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Full-time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71DDE148" w14:textId="6EABCBBE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Language: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81885A2" w14:textId="49E0278F" w:rsidR="005922B1" w:rsidRPr="006418F3" w:rsidRDefault="00711CA0" w:rsidP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lang w:val="en-GB"/>
              </w:rPr>
              <w:t>English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0FCB8912" w14:textId="4E6A561D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63CA0" w14:textId="18433BE7" w:rsidR="005922B1" w:rsidRPr="006418F3" w:rsidRDefault="002C4EA6" w:rsidP="005922B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Fall</w:t>
            </w:r>
            <w:r w:rsidR="008D3C9D">
              <w:rPr>
                <w:sz w:val="24"/>
                <w:szCs w:val="24"/>
                <w:lang w:val="en-GB"/>
              </w:rPr>
              <w:t xml:space="preserve"> / Spring</w:t>
            </w:r>
          </w:p>
        </w:tc>
      </w:tr>
      <w:tr w:rsidR="0088718B" w:rsidRPr="006418F3" w14:paraId="1AD0D255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1BDD7B53" w14:textId="77777777" w:rsidR="0088718B" w:rsidRPr="006418F3" w:rsidRDefault="0088718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1A50DFF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21BCAD" w14:textId="69F954AA" w:rsidR="0088718B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Major</w:t>
            </w:r>
            <w:r w:rsidR="0088718B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215022B9" w14:textId="77777777" w:rsidR="0088718B" w:rsidRPr="006418F3" w:rsidRDefault="0088718B">
            <w:pPr>
              <w:rPr>
                <w:sz w:val="24"/>
                <w:szCs w:val="24"/>
                <w:lang w:val="en-GB"/>
              </w:rPr>
            </w:pPr>
          </w:p>
        </w:tc>
      </w:tr>
      <w:tr w:rsidR="0088718B" w:rsidRPr="006418F3" w14:paraId="7432246D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BABADAA" w14:textId="77777777" w:rsidR="0088718B" w:rsidRPr="006418F3" w:rsidRDefault="0088718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214F6E0D" w14:textId="77777777" w:rsidTr="008D3C9D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2AC695A" w14:textId="6C23527D" w:rsidR="0088718B" w:rsidRPr="006418F3" w:rsidRDefault="000A279E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Lecturer-in-charge</w:t>
            </w:r>
            <w:r w:rsidR="0088718B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B526FFE" w14:textId="610ADD79" w:rsidR="0088718B" w:rsidRPr="006418F3" w:rsidRDefault="009B6E0B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Noémi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Piricz</w:t>
            </w:r>
            <w:proofErr w:type="spellEnd"/>
            <w:r>
              <w:rPr>
                <w:sz w:val="24"/>
                <w:szCs w:val="24"/>
                <w:lang w:val="en-GB"/>
              </w:rPr>
              <w:t>, Ph.D.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549F5C5B" w14:textId="7FE2255B" w:rsidR="0088718B" w:rsidRPr="006418F3" w:rsidRDefault="005922B1" w:rsidP="009E15A5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Lecturer(s):</w:t>
            </w:r>
            <w:r w:rsidR="0088718B" w:rsidRPr="006418F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385" w:type="dxa"/>
            <w:gridSpan w:val="4"/>
            <w:shd w:val="clear" w:color="auto" w:fill="FFFFFF"/>
            <w:vAlign w:val="center"/>
            <w:hideMark/>
          </w:tcPr>
          <w:p w14:paraId="00A6FD48" w14:textId="2C334759" w:rsidR="0088718B" w:rsidRPr="006418F3" w:rsidRDefault="009B6E0B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Noémi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Piricz</w:t>
            </w:r>
            <w:proofErr w:type="spellEnd"/>
            <w:r>
              <w:rPr>
                <w:sz w:val="24"/>
                <w:szCs w:val="24"/>
                <w:lang w:val="en-GB"/>
              </w:rPr>
              <w:t>, Ph.D.</w:t>
            </w:r>
          </w:p>
        </w:tc>
      </w:tr>
      <w:tr w:rsidR="005922B1" w:rsidRPr="006418F3" w14:paraId="491F7EB7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F3DB9B8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37C15EE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4CFCBC" w14:textId="029B3247" w:rsidR="005922B1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Prerequisites: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1C88925D" w14:textId="1F1B4E8D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None</w:t>
            </w:r>
          </w:p>
        </w:tc>
      </w:tr>
      <w:tr w:rsidR="008D3C9D" w:rsidRPr="006418F3" w14:paraId="570B9F9E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0623862" w14:textId="4B822324" w:rsidR="005922B1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No. of sessions</w:t>
            </w:r>
            <w:r w:rsidRPr="006418F3">
              <w:rPr>
                <w:b/>
                <w:bCs/>
                <w:lang w:val="en-GB"/>
              </w:rPr>
              <w:br/>
              <w:t xml:space="preserve"> per week/term: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9BC21" w14:textId="33D383BF" w:rsidR="005922B1" w:rsidRPr="006418F3" w:rsidRDefault="003730DF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Weekly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2D52FE21" w14:textId="3F837D1D" w:rsidR="005922B1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Lecture: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BFE0B" w14:textId="449F134D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6F7DE5D4" w14:textId="51DE6A63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Seminar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6DD31" w14:textId="78DF5A1D" w:rsidR="005922B1" w:rsidRPr="006418F3" w:rsidRDefault="00396162" w:rsidP="006418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C07F48" w14:textId="7FEEC9EE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Lab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FEF3B" w14:textId="77777777" w:rsidR="005922B1" w:rsidRPr="006418F3" w:rsidRDefault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E990DC" w14:textId="07EAAFCB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Consultation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72D61" w14:textId="77777777" w:rsidR="005922B1" w:rsidRPr="006418F3" w:rsidRDefault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lang w:val="en-GB"/>
              </w:rPr>
              <w:t>0</w:t>
            </w:r>
          </w:p>
        </w:tc>
      </w:tr>
      <w:tr w:rsidR="005922B1" w:rsidRPr="006418F3" w14:paraId="2744A312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3F75A92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438BB6FD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F30BBE3" w14:textId="60A5A67F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Exam/Course assignment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5BA4BED7" w14:textId="37DE508B" w:rsidR="005922B1" w:rsidRPr="006418F3" w:rsidRDefault="009B6E0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  <w:r w:rsidR="003730DF" w:rsidRPr="006418F3">
              <w:rPr>
                <w:sz w:val="24"/>
                <w:szCs w:val="24"/>
                <w:lang w:val="en-GB"/>
              </w:rPr>
              <w:t>xam</w:t>
            </w:r>
          </w:p>
        </w:tc>
      </w:tr>
      <w:tr w:rsidR="005922B1" w:rsidRPr="006418F3" w14:paraId="47FEB8A5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1F7EF29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761E6C0F" w14:textId="77777777" w:rsidTr="006418F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1FE7380" w14:textId="6F32A8E6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Course objectives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69A1BC01" w14:textId="15800E28" w:rsidR="005922B1" w:rsidRPr="006418F3" w:rsidRDefault="009B6E0B" w:rsidP="009B6E0B">
            <w:pPr>
              <w:rPr>
                <w:sz w:val="24"/>
                <w:szCs w:val="24"/>
                <w:lang w:val="en-GB"/>
              </w:rPr>
            </w:pPr>
            <w:r w:rsidRPr="009B6E0B">
              <w:rPr>
                <w:sz w:val="24"/>
                <w:szCs w:val="24"/>
                <w:lang w:val="en-GB"/>
              </w:rPr>
              <w:t>In the course of teaching the subject, we intend to make students realise that accounting should function as an information system that effectively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9B6E0B">
              <w:rPr>
                <w:sz w:val="24"/>
                <w:szCs w:val="24"/>
                <w:lang w:val="en-GB"/>
              </w:rPr>
              <w:t>assists market actors and the various levels of corporate management. In teaching the subject of accounting, we find it especially important to lay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9B6E0B">
              <w:rPr>
                <w:sz w:val="24"/>
                <w:szCs w:val="24"/>
                <w:lang w:val="en-GB"/>
              </w:rPr>
              <w:t>great emphasis on explaining accounting concepts and their inter-relations.</w:t>
            </w:r>
          </w:p>
        </w:tc>
      </w:tr>
      <w:tr w:rsidR="00711CA0" w:rsidRPr="006418F3" w14:paraId="46B82485" w14:textId="77777777" w:rsidTr="006418F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246879" w14:textId="4F84FB94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Course assessment: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70603B40" w14:textId="77777777" w:rsidR="009B6E0B" w:rsidRPr="009B6E0B" w:rsidRDefault="009B6E0B" w:rsidP="009B6E0B">
            <w:pPr>
              <w:rPr>
                <w:sz w:val="24"/>
                <w:szCs w:val="24"/>
                <w:lang w:val="en-GB"/>
              </w:rPr>
            </w:pPr>
            <w:r w:rsidRPr="009B6E0B">
              <w:rPr>
                <w:sz w:val="24"/>
                <w:szCs w:val="24"/>
                <w:lang w:val="en-GB"/>
              </w:rPr>
              <w:t>Number, requirements and dates of mid-term checking of the progress of studies (individual presentation + classroom paper):</w:t>
            </w:r>
          </w:p>
          <w:p w14:paraId="36CE052E" w14:textId="77777777" w:rsidR="009B6E0B" w:rsidRPr="009B6E0B" w:rsidRDefault="009B6E0B" w:rsidP="009B6E0B">
            <w:pPr>
              <w:rPr>
                <w:sz w:val="24"/>
                <w:szCs w:val="24"/>
                <w:lang w:val="en-GB"/>
              </w:rPr>
            </w:pPr>
            <w:r w:rsidRPr="009B6E0B">
              <w:rPr>
                <w:sz w:val="24"/>
                <w:szCs w:val="24"/>
                <w:lang w:val="en-GB"/>
              </w:rPr>
              <w:t>1) Individual presentation on week 5</w:t>
            </w:r>
          </w:p>
          <w:p w14:paraId="18A9842A" w14:textId="77777777" w:rsidR="009B6E0B" w:rsidRPr="009B6E0B" w:rsidRDefault="009B6E0B" w:rsidP="009B6E0B">
            <w:pPr>
              <w:rPr>
                <w:sz w:val="24"/>
                <w:szCs w:val="24"/>
                <w:lang w:val="en-GB"/>
              </w:rPr>
            </w:pPr>
            <w:r w:rsidRPr="009B6E0B">
              <w:rPr>
                <w:sz w:val="24"/>
                <w:szCs w:val="24"/>
                <w:lang w:val="en-GB"/>
              </w:rPr>
              <w:lastRenderedPageBreak/>
              <w:t>2) Individual classroom paper on week 11</w:t>
            </w:r>
          </w:p>
          <w:p w14:paraId="3A3FF98D" w14:textId="77777777" w:rsidR="009B6E0B" w:rsidRPr="009B6E0B" w:rsidRDefault="009B6E0B" w:rsidP="009B6E0B">
            <w:pPr>
              <w:rPr>
                <w:sz w:val="24"/>
                <w:szCs w:val="24"/>
                <w:lang w:val="en-GB"/>
              </w:rPr>
            </w:pPr>
            <w:r w:rsidRPr="009B6E0B">
              <w:rPr>
                <w:sz w:val="24"/>
                <w:szCs w:val="24"/>
                <w:lang w:val="en-GB"/>
              </w:rPr>
              <w:t>Both individual presentation and classroom paper cannot be fulfilled or repeated in exam period!</w:t>
            </w:r>
          </w:p>
          <w:p w14:paraId="43557C33" w14:textId="77777777" w:rsidR="009B6E0B" w:rsidRPr="009B6E0B" w:rsidRDefault="009B6E0B" w:rsidP="009B6E0B">
            <w:pPr>
              <w:rPr>
                <w:sz w:val="24"/>
                <w:szCs w:val="24"/>
                <w:lang w:val="en-GB"/>
              </w:rPr>
            </w:pPr>
            <w:r w:rsidRPr="009B6E0B">
              <w:rPr>
                <w:sz w:val="24"/>
                <w:szCs w:val="24"/>
                <w:lang w:val="en-GB"/>
              </w:rPr>
              <w:t>Requirements on participation on seminars and lectures:</w:t>
            </w:r>
          </w:p>
          <w:p w14:paraId="19DFACC3" w14:textId="44F2DB05" w:rsidR="009B6E0B" w:rsidRPr="009B6E0B" w:rsidRDefault="009B6E0B" w:rsidP="009B6E0B">
            <w:pPr>
              <w:rPr>
                <w:sz w:val="24"/>
                <w:szCs w:val="24"/>
                <w:lang w:val="en-GB"/>
              </w:rPr>
            </w:pPr>
            <w:r w:rsidRPr="009B6E0B">
              <w:rPr>
                <w:sz w:val="24"/>
                <w:szCs w:val="24"/>
                <w:lang w:val="en-GB"/>
              </w:rPr>
              <w:t>It is mandatory to attend the seminars and lectures required in the syllabus when scheduled on the timetable (</w:t>
            </w:r>
            <w:proofErr w:type="gramStart"/>
            <w:r w:rsidRPr="009B6E0B">
              <w:rPr>
                <w:sz w:val="24"/>
                <w:szCs w:val="24"/>
                <w:lang w:val="en-GB"/>
              </w:rPr>
              <w:t>with regard to</w:t>
            </w:r>
            <w:proofErr w:type="gramEnd"/>
            <w:r w:rsidRPr="009B6E0B">
              <w:rPr>
                <w:sz w:val="24"/>
                <w:szCs w:val="24"/>
                <w:lang w:val="en-GB"/>
              </w:rPr>
              <w:t xml:space="preserve"> how difficult the</w:t>
            </w:r>
            <w:r w:rsidR="000A3AF1">
              <w:rPr>
                <w:sz w:val="24"/>
                <w:szCs w:val="24"/>
                <w:lang w:val="en-GB"/>
              </w:rPr>
              <w:t xml:space="preserve"> </w:t>
            </w:r>
            <w:r w:rsidRPr="009B6E0B">
              <w:rPr>
                <w:sz w:val="24"/>
                <w:szCs w:val="24"/>
                <w:lang w:val="en-GB"/>
              </w:rPr>
              <w:t>material is). The requirements of the Study and Exam Rules are applicable to missed lessons. (During a semester, one lecture and three seminars can</w:t>
            </w:r>
            <w:r w:rsidR="000A3AF1">
              <w:rPr>
                <w:sz w:val="24"/>
                <w:szCs w:val="24"/>
                <w:lang w:val="en-GB"/>
              </w:rPr>
              <w:t xml:space="preserve"> </w:t>
            </w:r>
            <w:r w:rsidRPr="009B6E0B">
              <w:rPr>
                <w:sz w:val="24"/>
                <w:szCs w:val="24"/>
                <w:lang w:val="en-GB"/>
              </w:rPr>
              <w:t>be missed).</w:t>
            </w:r>
          </w:p>
          <w:p w14:paraId="77C8A885" w14:textId="34F385B0" w:rsidR="006418F3" w:rsidRPr="006418F3" w:rsidRDefault="009B6E0B" w:rsidP="009B6E0B">
            <w:pPr>
              <w:rPr>
                <w:sz w:val="24"/>
                <w:szCs w:val="24"/>
                <w:lang w:val="en-GB"/>
              </w:rPr>
            </w:pPr>
            <w:r w:rsidRPr="009B6E0B">
              <w:rPr>
                <w:sz w:val="24"/>
                <w:szCs w:val="24"/>
                <w:lang w:val="en-GB"/>
              </w:rPr>
              <w:t>It is compulsory to actively take part in lectures and seminars. Participation is verified by means of an attendance sheet.</w:t>
            </w:r>
          </w:p>
        </w:tc>
      </w:tr>
      <w:tr w:rsidR="005922B1" w:rsidRPr="006418F3" w14:paraId="0A56D6F2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15DD5B7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lastRenderedPageBreak/>
              <w:t> </w:t>
            </w:r>
          </w:p>
        </w:tc>
      </w:tr>
      <w:tr w:rsidR="00711CA0" w:rsidRPr="006418F3" w14:paraId="4E86C6F7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DEEAAD"/>
            <w:vAlign w:val="center"/>
            <w:hideMark/>
          </w:tcPr>
          <w:p w14:paraId="4080C99F" w14:textId="4BAE97B5" w:rsidR="005922B1" w:rsidRPr="006418F3" w:rsidRDefault="006F5EE6">
            <w:pPr>
              <w:jc w:val="center"/>
              <w:rPr>
                <w:sz w:val="24"/>
                <w:szCs w:val="24"/>
                <w:lang w:val="en-GB"/>
              </w:rPr>
            </w:pPr>
            <w:r w:rsidRPr="006418F3">
              <w:rPr>
                <w:b/>
                <w:lang w:val="en-GB"/>
              </w:rPr>
              <w:t>Week</w:t>
            </w:r>
            <w:r w:rsidRPr="006418F3">
              <w:rPr>
                <w:b/>
                <w:lang w:val="en-GB"/>
              </w:rPr>
              <w:br/>
              <w:t>(consultation)</w:t>
            </w:r>
          </w:p>
        </w:tc>
        <w:tc>
          <w:tcPr>
            <w:tcW w:w="0" w:type="auto"/>
            <w:gridSpan w:val="9"/>
            <w:shd w:val="clear" w:color="auto" w:fill="DEEAAD"/>
            <w:vAlign w:val="center"/>
            <w:hideMark/>
          </w:tcPr>
          <w:p w14:paraId="27C3AC15" w14:textId="36AA58D2" w:rsidR="005922B1" w:rsidRPr="006418F3" w:rsidRDefault="006F5EE6">
            <w:pPr>
              <w:jc w:val="center"/>
              <w:rPr>
                <w:sz w:val="24"/>
                <w:szCs w:val="24"/>
                <w:lang w:val="en-GB"/>
              </w:rPr>
            </w:pPr>
            <w:r w:rsidRPr="006418F3">
              <w:rPr>
                <w:b/>
                <w:lang w:val="en-GB"/>
              </w:rPr>
              <w:t>Course content</w:t>
            </w:r>
          </w:p>
        </w:tc>
      </w:tr>
      <w:tr w:rsidR="00711CA0" w:rsidRPr="006418F3" w14:paraId="04C7EEDE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38BE353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6065D128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Seminar 1-2: Stakeholders</w:t>
            </w:r>
          </w:p>
          <w:p w14:paraId="489CA8B7" w14:textId="3D15DC99" w:rsidR="005922B1" w:rsidRPr="006418F3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Lecture 1: Role and Structure of Accounting</w:t>
            </w:r>
          </w:p>
        </w:tc>
      </w:tr>
      <w:tr w:rsidR="00711CA0" w:rsidRPr="006418F3" w14:paraId="60319DAB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5237C84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046EB772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Seminar 3-4: Book-keeping vs Accounting</w:t>
            </w:r>
          </w:p>
          <w:p w14:paraId="3D6C7A77" w14:textId="268033B5" w:rsidR="005922B1" w:rsidRPr="006418F3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Lecture 2: Accounting Principles</w:t>
            </w:r>
          </w:p>
        </w:tc>
      </w:tr>
      <w:tr w:rsidR="00711CA0" w:rsidRPr="006418F3" w14:paraId="12077595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A7A96A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7B665450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Lecture 3: Accounting Information System</w:t>
            </w:r>
          </w:p>
          <w:p w14:paraId="7BF2E706" w14:textId="1FBD7607" w:rsidR="005922B1" w:rsidRPr="006418F3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Seminar 5-6: Book-keeping vs Accounting</w:t>
            </w:r>
          </w:p>
        </w:tc>
      </w:tr>
      <w:tr w:rsidR="00711CA0" w:rsidRPr="006418F3" w14:paraId="6CD51690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336974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6CE5E983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Lecture 4: Double Entry System</w:t>
            </w:r>
          </w:p>
          <w:p w14:paraId="2056DAA3" w14:textId="4B3C4119" w:rsidR="005922B1" w:rsidRPr="006418F3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Seminar 7-8: Stocktaking</w:t>
            </w:r>
          </w:p>
        </w:tc>
      </w:tr>
      <w:tr w:rsidR="00711CA0" w:rsidRPr="006418F3" w14:paraId="31A53DF2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5CF7A2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5.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34574C43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Lecture 5: Individual presentations</w:t>
            </w:r>
          </w:p>
          <w:p w14:paraId="438E6DCE" w14:textId="14157578" w:rsidR="005922B1" w:rsidRPr="006418F3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Seminar 9-10: Individual presentations</w:t>
            </w:r>
          </w:p>
        </w:tc>
      </w:tr>
      <w:tr w:rsidR="00711CA0" w:rsidRPr="006418F3" w14:paraId="40D27437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B46475B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6.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1B6C0328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Lecture 6: Accounting Information System</w:t>
            </w:r>
          </w:p>
          <w:p w14:paraId="422C2AC0" w14:textId="19C1CFD4" w:rsidR="005922B1" w:rsidRPr="006418F3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Seminar 11-12: Valuation tasks for calculation</w:t>
            </w:r>
          </w:p>
        </w:tc>
      </w:tr>
      <w:tr w:rsidR="00711CA0" w:rsidRPr="006418F3" w14:paraId="3C5ADCB8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4C148EE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7.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66CE59EA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Lecture 7: Forms and Methods of Reporting</w:t>
            </w:r>
          </w:p>
          <w:p w14:paraId="6617C254" w14:textId="155C464B" w:rsidR="005922B1" w:rsidRPr="006418F3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Seminar 13-14: The Balance Sheet</w:t>
            </w:r>
          </w:p>
        </w:tc>
      </w:tr>
      <w:tr w:rsidR="00711CA0" w:rsidRPr="006418F3" w14:paraId="50C40169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D24B0D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lastRenderedPageBreak/>
              <w:t>8.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5FFC0A97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Lecture 8: The Company´s Assets and Liabilities</w:t>
            </w:r>
          </w:p>
          <w:p w14:paraId="1295DAC9" w14:textId="632F3C3D" w:rsidR="005922B1" w:rsidRPr="006418F3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Seminar 15-16: Practising the Company´s Assets and Liabilities</w:t>
            </w:r>
          </w:p>
        </w:tc>
      </w:tr>
      <w:tr w:rsidR="00711CA0" w:rsidRPr="006418F3" w14:paraId="38FD2B9A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A77020C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9.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70C64BBC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Lecture 9: Accounting Valuation</w:t>
            </w:r>
          </w:p>
          <w:p w14:paraId="1296453A" w14:textId="0254656F" w:rsidR="005922B1" w:rsidRPr="006418F3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Seminar 17-18: Depreciation</w:t>
            </w:r>
          </w:p>
        </w:tc>
      </w:tr>
      <w:tr w:rsidR="00711CA0" w:rsidRPr="006418F3" w14:paraId="5BE02547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37E807F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10.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1CD2FAB6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Lecture 10: Methods of Accounting</w:t>
            </w:r>
          </w:p>
          <w:p w14:paraId="071461E8" w14:textId="64E8C7FF" w:rsidR="005922B1" w:rsidRPr="006418F3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Seminar 19-20: Methods of Accounting</w:t>
            </w:r>
          </w:p>
        </w:tc>
      </w:tr>
      <w:tr w:rsidR="00711CA0" w:rsidRPr="006418F3" w14:paraId="58B54439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030A81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6F08E76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Lecture 11: The Accounting of Simple Economic Transactions l.</w:t>
            </w:r>
          </w:p>
          <w:p w14:paraId="2CB6DE6A" w14:textId="159631D1" w:rsidR="005922B1" w:rsidRPr="006418F3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Seminar 20-21: Individual classroom paper</w:t>
            </w:r>
          </w:p>
        </w:tc>
      </w:tr>
      <w:tr w:rsidR="00711CA0" w:rsidRPr="006418F3" w14:paraId="18B90200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D071241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391E7849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Lecture 12: The Accounting of Simple Economic Transactions ll.</w:t>
            </w:r>
          </w:p>
          <w:p w14:paraId="53540F65" w14:textId="60F95AA4" w:rsidR="005922B1" w:rsidRPr="006418F3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Seminar 22-23: Accounting tasks</w:t>
            </w:r>
          </w:p>
        </w:tc>
      </w:tr>
      <w:tr w:rsidR="00711CA0" w:rsidRPr="006418F3" w14:paraId="100D591B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C8E8A7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27CEB6A2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Lecture 13: Accounting of Different Transactions</w:t>
            </w:r>
          </w:p>
          <w:p w14:paraId="536320F1" w14:textId="404126F0" w:rsidR="005922B1" w:rsidRPr="006418F3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Seminar 24-25: Accounting tasks</w:t>
            </w:r>
          </w:p>
        </w:tc>
      </w:tr>
      <w:tr w:rsidR="00711CA0" w:rsidRPr="006418F3" w14:paraId="0FAE553C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B200BBD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10A38523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Lecture 14: Summary</w:t>
            </w:r>
          </w:p>
          <w:p w14:paraId="476F54EF" w14:textId="6C37535F" w:rsidR="005922B1" w:rsidRPr="006418F3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Seminar 26-27: Preparations for written exam</w:t>
            </w:r>
          </w:p>
        </w:tc>
      </w:tr>
      <w:tr w:rsidR="005922B1" w:rsidRPr="006418F3" w14:paraId="6957C961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E088D41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1780855D" w14:textId="77777777" w:rsidTr="000A3AF1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7D58632" w14:textId="067372FD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lang w:val="en-GB"/>
              </w:rPr>
              <w:t>Assessment (method of assessment</w:t>
            </w:r>
            <w:r w:rsidR="005922B1" w:rsidRPr="006418F3">
              <w:rPr>
                <w:b/>
                <w:bCs/>
                <w:lang w:val="en-GB"/>
              </w:rPr>
              <w:t xml:space="preserve">, </w:t>
            </w:r>
            <w:r w:rsidR="005922B1" w:rsidRPr="006418F3">
              <w:rPr>
                <w:b/>
                <w:bCs/>
                <w:lang w:val="en-GB"/>
              </w:rPr>
              <w:br/>
            </w:r>
            <w:r w:rsidRPr="006418F3">
              <w:rPr>
                <w:b/>
                <w:bCs/>
                <w:lang w:val="en-GB"/>
              </w:rPr>
              <w:t>make-ups and re-sits)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30C6CD2B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How marks are given?</w:t>
            </w:r>
          </w:p>
          <w:p w14:paraId="55B9C74E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Option 1 (suggested mark):</w:t>
            </w:r>
          </w:p>
          <w:p w14:paraId="531FEFA0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1) Individual presentation on week 5: max 40 points</w:t>
            </w:r>
          </w:p>
          <w:p w14:paraId="0B38A35F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2) Individual classroom paper on week 12: max 60 points</w:t>
            </w:r>
          </w:p>
          <w:p w14:paraId="16E0299D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Option 2 (exam period):</w:t>
            </w:r>
          </w:p>
          <w:p w14:paraId="30A9250F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 xml:space="preserve">Written exam at exam </w:t>
            </w:r>
            <w:proofErr w:type="gramStart"/>
            <w:r w:rsidRPr="000A3AF1">
              <w:rPr>
                <w:sz w:val="24"/>
                <w:szCs w:val="24"/>
                <w:lang w:val="en-GB"/>
              </w:rPr>
              <w:t>period :</w:t>
            </w:r>
            <w:proofErr w:type="gramEnd"/>
            <w:r w:rsidRPr="000A3AF1">
              <w:rPr>
                <w:sz w:val="24"/>
                <w:szCs w:val="24"/>
                <w:lang w:val="en-GB"/>
              </w:rPr>
              <w:t xml:space="preserve"> max 100 points</w:t>
            </w:r>
          </w:p>
          <w:p w14:paraId="63FF6CB1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</w:p>
          <w:p w14:paraId="58F99DA3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In both case the calculation of marks:</w:t>
            </w:r>
          </w:p>
          <w:p w14:paraId="7B216029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between 0-50%: one (1)</w:t>
            </w:r>
          </w:p>
          <w:p w14:paraId="4A72FEF4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between 51-64%: two (2)</w:t>
            </w:r>
          </w:p>
          <w:p w14:paraId="38ABAC6F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lastRenderedPageBreak/>
              <w:t>between 65-75%: three (3)</w:t>
            </w:r>
          </w:p>
          <w:p w14:paraId="2D02F757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between 76-88%: four (4)</w:t>
            </w:r>
          </w:p>
          <w:p w14:paraId="058A24F4" w14:textId="65D7965A" w:rsidR="005922B1" w:rsidRPr="006418F3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between 89-100%: five (5)</w:t>
            </w:r>
          </w:p>
        </w:tc>
      </w:tr>
      <w:tr w:rsidR="00711CA0" w:rsidRPr="006418F3" w14:paraId="68C4D4CB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8890FFC" w14:textId="632A0B26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lastRenderedPageBreak/>
              <w:t>Course completion (written or oral exam, test, etc.):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7D371028" w14:textId="21EA7638" w:rsidR="005922B1" w:rsidRPr="006418F3" w:rsidRDefault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Written exam at exam period</w:t>
            </w:r>
          </w:p>
        </w:tc>
      </w:tr>
      <w:tr w:rsidR="005922B1" w:rsidRPr="006418F3" w14:paraId="113A4EAB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224684E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08E484BF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E8A973" w14:textId="7EE8C099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Compulsory literature: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676E05B9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Learning material in Moodle</w:t>
            </w:r>
          </w:p>
          <w:p w14:paraId="6CB96483" w14:textId="5AAB91C9" w:rsidR="005922B1" w:rsidRPr="006418F3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Jerry J. Weygandt and Paul D. Kimmel: Accounting Principles, 12th Edition International Student Version, 2015, Kindle Edition</w:t>
            </w:r>
          </w:p>
        </w:tc>
      </w:tr>
      <w:tr w:rsidR="00711CA0" w:rsidRPr="006418F3" w14:paraId="791C2395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C537BA" w14:textId="70B642D3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Recommended literature:</w:t>
            </w:r>
            <w:r w:rsidR="005922B1" w:rsidRPr="006418F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45F7B815" w14:textId="4CF938C6" w:rsidR="006418F3" w:rsidRPr="006418F3" w:rsidRDefault="000A3AF1" w:rsidP="005F66E3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Larry M. Walther: Financial Accounting. 2016-2017 Edition, Paperback</w:t>
            </w:r>
          </w:p>
        </w:tc>
      </w:tr>
      <w:tr w:rsidR="005922B1" w:rsidRPr="006418F3" w14:paraId="6B6E7A40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478E1080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14868CEF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54CE8F" w14:textId="13DB7C6F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Additional material:</w:t>
            </w:r>
            <w:r w:rsidR="005922B1" w:rsidRPr="006418F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5DB36594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Accounting Act (can be found in Moodle too)</w:t>
            </w:r>
          </w:p>
          <w:p w14:paraId="3884E73E" w14:textId="464CCE69" w:rsidR="005922B1" w:rsidRPr="006418F3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List of terms</w:t>
            </w:r>
          </w:p>
        </w:tc>
      </w:tr>
      <w:tr w:rsidR="00711CA0" w:rsidRPr="006418F3" w14:paraId="53F173A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D971FD" w14:textId="2634D41C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Quality management aspects: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18F69D20" w14:textId="6F20A36F" w:rsidR="005922B1" w:rsidRPr="006418F3" w:rsidRDefault="003730DF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TÜV CERT EN ISO 9001:2000</w:t>
            </w:r>
          </w:p>
        </w:tc>
      </w:tr>
    </w:tbl>
    <w:p w14:paraId="70EE5635" w14:textId="77777777" w:rsidR="00266D5B" w:rsidRPr="006418F3" w:rsidRDefault="00266D5B" w:rsidP="0088718B">
      <w:pPr>
        <w:spacing w:after="240"/>
        <w:rPr>
          <w:lang w:val="en-GB"/>
        </w:rPr>
      </w:pPr>
    </w:p>
    <w:sectPr w:rsidR="00266D5B" w:rsidRPr="006418F3" w:rsidSect="00887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18B"/>
    <w:rsid w:val="000267C6"/>
    <w:rsid w:val="000A279E"/>
    <w:rsid w:val="000A3AF1"/>
    <w:rsid w:val="00266D5B"/>
    <w:rsid w:val="002C4EA6"/>
    <w:rsid w:val="003730DF"/>
    <w:rsid w:val="00396162"/>
    <w:rsid w:val="005748D9"/>
    <w:rsid w:val="005907AF"/>
    <w:rsid w:val="005922B1"/>
    <w:rsid w:val="005B26CB"/>
    <w:rsid w:val="005F66E3"/>
    <w:rsid w:val="006265D7"/>
    <w:rsid w:val="006418F3"/>
    <w:rsid w:val="006F5EE6"/>
    <w:rsid w:val="00711CA0"/>
    <w:rsid w:val="0088718B"/>
    <w:rsid w:val="008D3C9D"/>
    <w:rsid w:val="0097797A"/>
    <w:rsid w:val="009A57E3"/>
    <w:rsid w:val="009B6E0B"/>
    <w:rsid w:val="009E1260"/>
    <w:rsid w:val="009E15A5"/>
    <w:rsid w:val="00AD2FB4"/>
    <w:rsid w:val="00B5124B"/>
    <w:rsid w:val="00D861F3"/>
    <w:rsid w:val="00DF1B89"/>
    <w:rsid w:val="00E023E6"/>
    <w:rsid w:val="00E6686D"/>
    <w:rsid w:val="00EC316B"/>
    <w:rsid w:val="00EF57F1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0A6"/>
  <w15:docId w15:val="{995A1A78-0EBA-48E2-B9B2-008B5C62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3E6"/>
  </w:style>
  <w:style w:type="paragraph" w:styleId="Cmsor1">
    <w:name w:val="heading 1"/>
    <w:basedOn w:val="Norml"/>
    <w:next w:val="Norml"/>
    <w:link w:val="Cmsor1Char"/>
    <w:uiPriority w:val="9"/>
    <w:qFormat/>
    <w:rsid w:val="00E023E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E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023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23E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23E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23E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3E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23E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23E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3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023E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23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3E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23E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23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023E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023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023E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023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023E6"/>
    <w:rPr>
      <w:b/>
      <w:bCs/>
    </w:rPr>
  </w:style>
  <w:style w:type="character" w:styleId="Kiemels">
    <w:name w:val="Emphasis"/>
    <w:uiPriority w:val="20"/>
    <w:qFormat/>
    <w:rsid w:val="00E023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E023E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023E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023E6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023E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23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23E6"/>
    <w:rPr>
      <w:b/>
      <w:bCs/>
      <w:i/>
      <w:iCs/>
    </w:rPr>
  </w:style>
  <w:style w:type="character" w:styleId="Finomkiemels">
    <w:name w:val="Subtle Emphasis"/>
    <w:uiPriority w:val="19"/>
    <w:qFormat/>
    <w:rsid w:val="00E023E6"/>
    <w:rPr>
      <w:i/>
      <w:iCs/>
    </w:rPr>
  </w:style>
  <w:style w:type="character" w:styleId="Erskiemels">
    <w:name w:val="Intense Emphasis"/>
    <w:uiPriority w:val="21"/>
    <w:qFormat/>
    <w:rsid w:val="00E023E6"/>
    <w:rPr>
      <w:b/>
      <w:bCs/>
    </w:rPr>
  </w:style>
  <w:style w:type="character" w:styleId="Finomhivatkozs">
    <w:name w:val="Subtle Reference"/>
    <w:uiPriority w:val="31"/>
    <w:qFormat/>
    <w:rsid w:val="00E023E6"/>
    <w:rPr>
      <w:smallCaps/>
    </w:rPr>
  </w:style>
  <w:style w:type="character" w:styleId="Ershivatkozs">
    <w:name w:val="Intense Reference"/>
    <w:uiPriority w:val="32"/>
    <w:qFormat/>
    <w:rsid w:val="00E023E6"/>
    <w:rPr>
      <w:smallCaps/>
      <w:spacing w:val="5"/>
      <w:u w:val="single"/>
    </w:rPr>
  </w:style>
  <w:style w:type="character" w:styleId="Knyvcme">
    <w:name w:val="Book Title"/>
    <w:uiPriority w:val="33"/>
    <w:qFormat/>
    <w:rsid w:val="00E023E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23E6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semiHidden/>
    <w:unhideWhenUsed/>
    <w:rsid w:val="00887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4AD0907B5A2468C5A39286A920487" ma:contentTypeVersion="11" ma:contentTypeDescription="Create a new document." ma:contentTypeScope="" ma:versionID="69f80c6864fcf345acaf94c11cdc8f36">
  <xsd:schema xmlns:xsd="http://www.w3.org/2001/XMLSchema" xmlns:xs="http://www.w3.org/2001/XMLSchema" xmlns:p="http://schemas.microsoft.com/office/2006/metadata/properties" xmlns:ns2="87447cf5-c751-4773-86ee-4dfe856caaf4" xmlns:ns3="b524f24a-2e8a-4e11-ab7e-8bca7e945095" targetNamespace="http://schemas.microsoft.com/office/2006/metadata/properties" ma:root="true" ma:fieldsID="271918a2b08b6f3f97bf878a8745d063" ns2:_="" ns3:_="">
    <xsd:import namespace="87447cf5-c751-4773-86ee-4dfe856caaf4"/>
    <xsd:import namespace="b524f24a-2e8a-4e11-ab7e-8bca7e945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7cf5-c751-4773-86ee-4dfe856c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4f24a-2e8a-4e11-ab7e-8bca7e945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87D3F-A48E-406E-909D-CB8197B0E9B2}"/>
</file>

<file path=customXml/itemProps2.xml><?xml version="1.0" encoding="utf-8"?>
<ds:datastoreItem xmlns:ds="http://schemas.openxmlformats.org/officeDocument/2006/customXml" ds:itemID="{2D16FF76-5762-4628-9C05-7EE6EB0B0BF2}"/>
</file>

<file path=customXml/itemProps3.xml><?xml version="1.0" encoding="utf-8"?>
<ds:datastoreItem xmlns:ds="http://schemas.openxmlformats.org/officeDocument/2006/customXml" ds:itemID="{34937822-D67E-4605-8759-5434CA3E13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491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Viktor</dc:creator>
  <cp:lastModifiedBy>Loraszkó Andrea</cp:lastModifiedBy>
  <cp:revision>2</cp:revision>
  <dcterms:created xsi:type="dcterms:W3CDTF">2021-05-05T19:41:00Z</dcterms:created>
  <dcterms:modified xsi:type="dcterms:W3CDTF">2021-05-05T19:41:00Z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0x010100CC04AD0907B5A2468C5A39286A920487</vt:lpwstr>
  </property>
</Properties>
</file>