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765"/>
        <w:gridCol w:w="623"/>
        <w:gridCol w:w="826"/>
        <w:gridCol w:w="2086"/>
        <w:gridCol w:w="2588"/>
      </w:tblGrid>
      <w:tr w:rsidR="0077527C" w:rsidRPr="0077527C" w14:paraId="72A18BBA" w14:textId="77777777" w:rsidTr="0077527C">
        <w:trPr>
          <w:trHeight w:val="600"/>
        </w:trPr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D55D5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name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272C995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 xml:space="preserve">Building a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tutoring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system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 xml:space="preserve"> and modern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basic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learning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skills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C470D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code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FA7F0C8" w14:textId="5878B905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GUXTS2CBNF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D2A0F" w14:textId="77777777" w:rsidR="0077527C" w:rsidRPr="0077527C" w:rsidRDefault="0077527C" w:rsidP="0077527C">
            <w:pPr>
              <w:spacing w:after="0" w:line="240" w:lineRule="auto"/>
              <w:ind w:left="-1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weekly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/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hours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    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11D34F9A" w14:textId="77FF1471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full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time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 1Lc+2Pr+0lab</w:t>
            </w:r>
          </w:p>
        </w:tc>
      </w:tr>
      <w:tr w:rsidR="0077527C" w:rsidRPr="0077527C" w14:paraId="54F87023" w14:textId="77777777" w:rsidTr="0077527C">
        <w:trPr>
          <w:trHeight w:val="585"/>
        </w:trPr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A5508" w14:textId="11EE776C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Credits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021CF47E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midterm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 </w:t>
            </w:r>
          </w:p>
          <w:p w14:paraId="2BDC3E6C" w14:textId="77777777" w:rsidR="0077527C" w:rsidRPr="0077527C" w:rsidRDefault="0077527C" w:rsidP="0077527C">
            <w:pPr>
              <w:spacing w:after="0" w:line="240" w:lineRule="auto"/>
              <w:ind w:left="90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37500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proofErr w:type="gram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Pre-requirement</w:t>
            </w:r>
            <w:proofErr w:type="spellEnd"/>
            <w:proofErr w:type="gram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 </w:t>
            </w:r>
          </w:p>
          <w:p w14:paraId="0BBC6196" w14:textId="77777777" w:rsidR="0077527C" w:rsidRPr="0077527C" w:rsidRDefault="0077527C" w:rsidP="0077527C">
            <w:pPr>
              <w:spacing w:after="0" w:line="240" w:lineRule="auto"/>
              <w:ind w:left="114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41C93A72" w14:textId="77777777" w:rsidTr="0077527C">
        <w:trPr>
          <w:trHeight w:val="570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2D4D7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owner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</w:t>
            </w:r>
            <w:r w:rsidRPr="0077527C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53DC2C0C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Dr. Zsuzsanna Balázs 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2B06F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Beosztás: 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68777A0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Assistant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Professor 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52525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Department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name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 </w:t>
            </w:r>
            <w:r w:rsidRPr="0077527C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2E6EC520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Keleti Károly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Business and Management </w:t>
            </w:r>
          </w:p>
          <w:p w14:paraId="6A8D1771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Department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of Marketing and Business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Sciences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68CB5C15" w14:textId="77777777" w:rsidTr="0077527C">
        <w:trPr>
          <w:trHeight w:val="5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3EC92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Way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Assessments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: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0278FFA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End-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test,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participation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mid-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year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assignments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and end-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presentations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642249EB" w14:textId="77777777" w:rsidTr="0077527C">
        <w:trPr>
          <w:trHeight w:val="2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9891E8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Course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08F1CCF7" w14:textId="77777777" w:rsidTr="0077527C">
        <w:trPr>
          <w:trHeight w:val="14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AB802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An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overview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basic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learning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research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Learn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practice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effective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learning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Harnessing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transforming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skills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Possible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preparation,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bibliography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research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activities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Evaluation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individual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research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results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Preparation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mentoring.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peer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assistance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preparation,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acquisition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results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Possible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ways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coordinating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group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learning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Support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promotion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student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</w:tc>
      </w:tr>
      <w:tr w:rsidR="0077527C" w:rsidRPr="0077527C" w14:paraId="27F41634" w14:textId="77777777" w:rsidTr="0077527C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50E7F6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Detailed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the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schedule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1DDFA61B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2FF6CE28" w14:textId="77777777" w:rsidTr="0077527C">
        <w:trPr>
          <w:trHeight w:val="51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048BCD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Education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weeks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74192D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Topics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for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lectures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practices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154C60A6" w14:textId="77777777" w:rsidTr="0077527C">
        <w:trPr>
          <w:trHeight w:val="31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4FA348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37D753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Introductions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learning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techniques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experiences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55A178CD" w14:textId="77777777" w:rsidTr="0077527C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247D73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ED60A5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Learning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1 </w:t>
            </w:r>
          </w:p>
        </w:tc>
      </w:tr>
      <w:tr w:rsidR="0077527C" w:rsidRPr="0077527C" w14:paraId="4F99BC17" w14:textId="77777777" w:rsidTr="0077527C">
        <w:trPr>
          <w:trHeight w:val="16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A428AA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B8D394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Learning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2 </w:t>
            </w:r>
          </w:p>
        </w:tc>
      </w:tr>
      <w:tr w:rsidR="0077527C" w:rsidRPr="0077527C" w14:paraId="7400211F" w14:textId="77777777" w:rsidTr="0077527C">
        <w:trPr>
          <w:trHeight w:val="5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1AAB3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8E87E5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Pedagogical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used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explore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others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’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competencies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hidden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potentials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14D4010F" w14:textId="77777777" w:rsidTr="0077527C">
        <w:trPr>
          <w:trHeight w:val="24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03A6A9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1D79BC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Transmitting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others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00EA3B4E" w14:textId="77777777" w:rsidTr="0077527C">
        <w:trPr>
          <w:trHeight w:val="27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39552C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853FB7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mentoring </w:t>
            </w:r>
          </w:p>
        </w:tc>
      </w:tr>
      <w:tr w:rsidR="0077527C" w:rsidRPr="0077527C" w14:paraId="4929565E" w14:textId="77777777" w:rsidTr="0077527C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F1E16C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61CE04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Mentoring in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practice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3A70B881" w14:textId="77777777" w:rsidTr="0077527C">
        <w:trPr>
          <w:trHeight w:val="16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E32D50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4E35C0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pairs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(mentoring project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based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specific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weekly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assignments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) </w:t>
            </w:r>
          </w:p>
        </w:tc>
      </w:tr>
      <w:tr w:rsidR="0077527C" w:rsidRPr="0077527C" w14:paraId="75D0FA11" w14:textId="77777777" w:rsidTr="0077527C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2F7B8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C612EE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pairs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(mentoring project) </w:t>
            </w:r>
          </w:p>
        </w:tc>
      </w:tr>
      <w:tr w:rsidR="0077527C" w:rsidRPr="0077527C" w14:paraId="6169146E" w14:textId="77777777" w:rsidTr="0077527C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16548F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B6F1DB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pairs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(mentoring project) </w:t>
            </w:r>
          </w:p>
        </w:tc>
      </w:tr>
      <w:tr w:rsidR="0077527C" w:rsidRPr="0077527C" w14:paraId="0646A445" w14:textId="77777777" w:rsidTr="0077527C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41B0CE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289771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End-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test </w:t>
            </w:r>
          </w:p>
        </w:tc>
      </w:tr>
      <w:tr w:rsidR="0077527C" w:rsidRPr="0077527C" w14:paraId="7B022010" w14:textId="77777777" w:rsidTr="0077527C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1892DA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12. 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C6A058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gram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Mini-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presentation</w:t>
            </w:r>
            <w:proofErr w:type="spellEnd"/>
            <w:proofErr w:type="gram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mentoring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experiences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6ABE0A48" w14:textId="77777777" w:rsidTr="0077527C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950CB0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146D9E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gram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Mini-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presentation</w:t>
            </w:r>
            <w:proofErr w:type="spellEnd"/>
            <w:proofErr w:type="gram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mentoring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experiences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1D02B962" w14:textId="77777777" w:rsidTr="0077527C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9D5BBA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D4B3CF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Substitute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end-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test </w:t>
            </w:r>
          </w:p>
        </w:tc>
      </w:tr>
      <w:tr w:rsidR="0077527C" w:rsidRPr="0077527C" w14:paraId="587805E4" w14:textId="77777777" w:rsidTr="0077527C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8EAC63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Mid-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term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420ABAF1" w14:textId="77777777" w:rsidTr="0077527C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86D0F3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39548C4A" w14:textId="77777777" w:rsidTr="0077527C">
        <w:trPr>
          <w:trHeight w:val="52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28006" w14:textId="77777777" w:rsidR="0077527C" w:rsidRPr="0077527C" w:rsidRDefault="0077527C" w:rsidP="0077527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regular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participation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class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4AE6432A" w14:textId="77777777" w:rsidR="0077527C" w:rsidRPr="0077527C" w:rsidRDefault="0077527C" w:rsidP="0077527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Completing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weekly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assignments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EAB8C0E" w14:textId="77777777" w:rsidR="0077527C" w:rsidRPr="0077527C" w:rsidRDefault="0077527C" w:rsidP="0077527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End-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test </w:t>
            </w:r>
          </w:p>
          <w:p w14:paraId="1628E136" w14:textId="77777777" w:rsidR="0077527C" w:rsidRPr="0077527C" w:rsidRDefault="0077527C" w:rsidP="0077527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Presentation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mentoring project </w:t>
            </w:r>
          </w:p>
        </w:tc>
      </w:tr>
      <w:tr w:rsidR="0077527C" w:rsidRPr="0077527C" w14:paraId="62FC4998" w14:textId="77777777" w:rsidTr="0077527C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6CB25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Midterm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papers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submissions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</w:t>
            </w:r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61849FDF" w14:textId="77777777" w:rsidTr="0077527C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02F81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4B0ED4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Week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11 End-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test </w:t>
            </w:r>
          </w:p>
        </w:tc>
      </w:tr>
      <w:tr w:rsidR="0077527C" w:rsidRPr="0077527C" w14:paraId="2419231B" w14:textId="77777777" w:rsidTr="0077527C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62B71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D6A6F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Week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12 and 13 </w:t>
            </w:r>
            <w:proofErr w:type="gram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Mini-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presentations</w:t>
            </w:r>
            <w:proofErr w:type="spellEnd"/>
            <w:proofErr w:type="gram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mentoring project </w:t>
            </w:r>
          </w:p>
        </w:tc>
      </w:tr>
      <w:tr w:rsidR="0077527C" w:rsidRPr="0077527C" w14:paraId="5FCF7688" w14:textId="77777777" w:rsidTr="0077527C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4832B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909F2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Week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14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Substitute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end-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test </w:t>
            </w:r>
          </w:p>
        </w:tc>
      </w:tr>
      <w:tr w:rsidR="0077527C" w:rsidRPr="0077527C" w14:paraId="006D10CB" w14:textId="77777777" w:rsidTr="0077527C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335B8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0A66A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2D23F45A" w14:textId="77777777" w:rsidTr="0077527C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9FEE1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signature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used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mark:</w:t>
            </w:r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3139FB4A" w14:textId="77777777" w:rsidTr="0077527C">
        <w:trPr>
          <w:trHeight w:val="8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1F464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lastRenderedPageBreak/>
              <w:t xml:space="preserve"> The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fi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grade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is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going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average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grades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received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following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tasks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 </w:t>
            </w:r>
          </w:p>
          <w:p w14:paraId="63E9760B" w14:textId="77777777" w:rsidR="0077527C" w:rsidRPr="0077527C" w:rsidRDefault="0077527C" w:rsidP="0077527C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participation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0E627C69" w14:textId="77777777" w:rsidR="0077527C" w:rsidRPr="0077527C" w:rsidRDefault="0077527C" w:rsidP="0077527C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End-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term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test </w:t>
            </w:r>
          </w:p>
          <w:p w14:paraId="734B77A5" w14:textId="77777777" w:rsidR="0077527C" w:rsidRPr="0077527C" w:rsidRDefault="0077527C" w:rsidP="0077527C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gram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Mini-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presentation</w:t>
            </w:r>
            <w:proofErr w:type="spellEnd"/>
            <w:proofErr w:type="gram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387E22D5" w14:textId="77777777" w:rsidTr="0077527C">
        <w:trPr>
          <w:trHeight w:val="33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A1396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Professional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competences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acquired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77527C" w:rsidRPr="0077527C" w14:paraId="4B021C5C" w14:textId="77777777" w:rsidTr="0077527C">
        <w:trPr>
          <w:trHeight w:val="49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B07D7" w14:textId="77777777" w:rsidR="0077527C" w:rsidRPr="0077527C" w:rsidRDefault="0077527C" w:rsidP="0077527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listening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skills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collaboration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teamwork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438A15D" w14:textId="77777777" w:rsidR="0077527C" w:rsidRPr="0077527C" w:rsidRDefault="0077527C" w:rsidP="0077527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Presentation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skills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3B9359F5" w14:textId="77777777" w:rsidR="0077527C" w:rsidRPr="0077527C" w:rsidRDefault="0077527C" w:rsidP="0077527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Self-awareness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1EEED882" w14:textId="77777777" w:rsidR="0077527C" w:rsidRPr="0077527C" w:rsidRDefault="0077527C" w:rsidP="0077527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Ability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present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proposals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positions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professionally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formulated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from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conceptual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theoretical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point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view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orally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gram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and in</w:t>
            </w:r>
            <w:proofErr w:type="gram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writing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in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Hungarian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in a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foreign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language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according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rules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communication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4BF4B829" w14:textId="77777777" w:rsidR="0077527C" w:rsidRPr="0077527C" w:rsidRDefault="0077527C" w:rsidP="0077527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Ability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communicate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modern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info-communication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tools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a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foreign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language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0649DAEF" w14:textId="77777777" w:rsidR="0077527C" w:rsidRPr="0077527C" w:rsidRDefault="0077527C" w:rsidP="0077527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Ability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become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receptive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new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information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new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skills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methodologies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open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new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tasks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responsibilities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requiring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autonomy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cooperation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5A60B4BA" w14:textId="77777777" w:rsidR="0077527C" w:rsidRPr="0077527C" w:rsidRDefault="0077527C" w:rsidP="0077527C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Ability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receptive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opinions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others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sectoral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regional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national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European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values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including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social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social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ecological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sustainability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aspects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). </w:t>
            </w:r>
          </w:p>
        </w:tc>
      </w:tr>
      <w:tr w:rsidR="0077527C" w:rsidRPr="0077527C" w14:paraId="01E89A92" w14:textId="77777777" w:rsidTr="0077527C">
        <w:trPr>
          <w:trHeight w:val="39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06D8A1" w14:textId="77777777" w:rsidR="0077527C" w:rsidRPr="0077527C" w:rsidRDefault="0077527C" w:rsidP="007752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Literature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40B15ED9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Cullingford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Cedric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Mentoring in Education: An International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Perspective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Hampshire,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Uk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Ashgate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2006. </w:t>
            </w:r>
          </w:p>
          <w:p w14:paraId="6F9073CF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Dave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Lochtie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et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Effective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Personal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Tutoring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Higher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Education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Critical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Publishing, 2018. </w:t>
            </w:r>
          </w:p>
          <w:p w14:paraId="13B7C942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Lunsford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Laura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Gail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Mentor’s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Guide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Five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Steps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to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Build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Successful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Mentor Program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Second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Edition.New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York: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Routledge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2022. </w:t>
            </w:r>
          </w:p>
          <w:p w14:paraId="0CB0A29A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Parsloe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Eric and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Melville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Leedham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Coaching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and Mentoring: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Practical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Techniques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for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Developing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Learning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 xml:space="preserve"> and Performance</w:t>
            </w: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Fourth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Edition. London and New York: </w:t>
            </w:r>
            <w:proofErr w:type="spellStart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Kogan</w:t>
            </w:r>
            <w:proofErr w:type="spellEnd"/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Page, 2022. </w:t>
            </w:r>
          </w:p>
          <w:p w14:paraId="6F5A9535" w14:textId="77777777" w:rsidR="0077527C" w:rsidRPr="0077527C" w:rsidRDefault="0077527C" w:rsidP="0077527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011AF2FE" w14:textId="77777777" w:rsidR="0077527C" w:rsidRPr="0077527C" w:rsidRDefault="0077527C" w:rsidP="007752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77527C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</w:tbl>
    <w:p w14:paraId="72593295" w14:textId="77777777" w:rsidR="0077527C" w:rsidRDefault="0077527C"/>
    <w:sectPr w:rsidR="0031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79A6"/>
    <w:multiLevelType w:val="multilevel"/>
    <w:tmpl w:val="2C8A0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75539"/>
    <w:multiLevelType w:val="multilevel"/>
    <w:tmpl w:val="8B7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434B2"/>
    <w:multiLevelType w:val="multilevel"/>
    <w:tmpl w:val="A26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A74D4"/>
    <w:multiLevelType w:val="multilevel"/>
    <w:tmpl w:val="51E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756B81"/>
    <w:multiLevelType w:val="multilevel"/>
    <w:tmpl w:val="12386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636254">
    <w:abstractNumId w:val="1"/>
  </w:num>
  <w:num w:numId="2" w16cid:durableId="299922403">
    <w:abstractNumId w:val="2"/>
  </w:num>
  <w:num w:numId="3" w16cid:durableId="1685354452">
    <w:abstractNumId w:val="4"/>
  </w:num>
  <w:num w:numId="4" w16cid:durableId="412363960">
    <w:abstractNumId w:val="0"/>
  </w:num>
  <w:num w:numId="5" w16cid:durableId="8265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C"/>
    <w:rsid w:val="0077527C"/>
    <w:rsid w:val="007A2FE4"/>
    <w:rsid w:val="00B00861"/>
    <w:rsid w:val="00D84623"/>
    <w:rsid w:val="00F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E591"/>
  <w15:chartTrackingRefBased/>
  <w15:docId w15:val="{9E30A27A-239E-42F6-9E49-96B10229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77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ormaltextrun">
    <w:name w:val="normaltextrun"/>
    <w:basedOn w:val="Bekezdsalapbettpusa"/>
    <w:rsid w:val="0077527C"/>
  </w:style>
  <w:style w:type="character" w:customStyle="1" w:styleId="eop">
    <w:name w:val="eop"/>
    <w:basedOn w:val="Bekezdsalapbettpusa"/>
    <w:rsid w:val="0077527C"/>
  </w:style>
  <w:style w:type="character" w:customStyle="1" w:styleId="findhit">
    <w:name w:val="findhit"/>
    <w:basedOn w:val="Bekezdsalapbettpusa"/>
    <w:rsid w:val="00775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7" ma:contentTypeDescription="Új dokumentum létrehozása." ma:contentTypeScope="" ma:versionID="8495ebd4738762de5fd5506bc12a7c56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d8876717a4b88a7e16789ef2c120ef65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8C9E9-686E-4C1F-A091-279466EA931E}"/>
</file>

<file path=customXml/itemProps2.xml><?xml version="1.0" encoding="utf-8"?>
<ds:datastoreItem xmlns:ds="http://schemas.openxmlformats.org/officeDocument/2006/customXml" ds:itemID="{5EBFC152-3373-4B8A-9474-BA0442194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Kozma-Loraszkó Andrea</dc:creator>
  <cp:keywords/>
  <dc:description/>
  <cp:lastModifiedBy>Kozma-Loraszkó Andrea</cp:lastModifiedBy>
  <cp:revision>1</cp:revision>
  <dcterms:created xsi:type="dcterms:W3CDTF">2023-11-13T14:01:00Z</dcterms:created>
  <dcterms:modified xsi:type="dcterms:W3CDTF">2023-11-13T14:02:00Z</dcterms:modified>
</cp:coreProperties>
</file>