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766"/>
        <w:gridCol w:w="623"/>
        <w:gridCol w:w="826"/>
        <w:gridCol w:w="2084"/>
        <w:gridCol w:w="2588"/>
      </w:tblGrid>
      <w:tr w:rsidR="004E7999" w:rsidRPr="004E7999" w14:paraId="4120EC3C" w14:textId="77777777" w:rsidTr="004E7999">
        <w:trPr>
          <w:trHeight w:val="600"/>
        </w:trPr>
        <w:tc>
          <w:tcPr>
            <w:tcW w:w="4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BF1D1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Subject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name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2289182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finances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62CCA4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subject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code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E1C1778" w14:textId="0672097C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GGXVP2CBNE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BD3933" w14:textId="77777777" w:rsidR="004E7999" w:rsidRPr="004E7999" w:rsidRDefault="004E7999" w:rsidP="004E7999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weekly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hours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shd w:val="clear" w:color="auto" w:fill="00FF00"/>
                <w:lang w:eastAsia="hu-HU"/>
                <w14:ligatures w14:val="none"/>
              </w:rPr>
              <w:t>:     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644834DD" w14:textId="26859C75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full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time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00FF00"/>
                <w:lang w:eastAsia="hu-HU"/>
                <w14:ligatures w14:val="none"/>
              </w:rPr>
              <w:t>: 2Lc+2Pr+0lab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5F5A851" w14:textId="77777777" w:rsidTr="004E7999">
        <w:trPr>
          <w:trHeight w:val="585"/>
        </w:trPr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38D7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Credits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4 </w:t>
            </w:r>
          </w:p>
          <w:p w14:paraId="3427F07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7B41E3D1" w14:textId="77777777" w:rsidR="004E7999" w:rsidRPr="004E7999" w:rsidRDefault="004E7999" w:rsidP="004E7999">
            <w:pPr>
              <w:spacing w:after="0" w:line="240" w:lineRule="auto"/>
              <w:ind w:left="90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5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DC529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proofErr w:type="gram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Pre-requirement</w:t>
            </w:r>
            <w:proofErr w:type="spellEnd"/>
            <w:proofErr w:type="gram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>Basics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6116FAA" w14:textId="77777777" w:rsidR="004E7999" w:rsidRPr="004E7999" w:rsidRDefault="004E7999" w:rsidP="004E7999">
            <w:pPr>
              <w:spacing w:after="0" w:line="240" w:lineRule="auto"/>
              <w:ind w:left="1140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0BD19F4" w14:textId="77777777" w:rsidTr="004E7999">
        <w:trPr>
          <w:trHeight w:val="570"/>
        </w:trPr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72A47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owner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012DD391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Dr. habil. Ágnes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Csiszárik-Kocsir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A1932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Beosztás: 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24583D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professor 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0550D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Department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name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A"/>
                <w:kern w:val="0"/>
                <w:lang w:eastAsia="hu-HU"/>
                <w14:ligatures w14:val="none"/>
              </w:rPr>
              <w:t>: </w:t>
            </w:r>
            <w:r w:rsidRPr="004E7999">
              <w:rPr>
                <w:rFonts w:ascii="Times New Roman" w:eastAsia="Times New Roman" w:hAnsi="Times New Roman" w:cs="Times New Roman"/>
                <w:color w:val="00000A"/>
                <w:kern w:val="0"/>
                <w:lang w:eastAsia="hu-HU"/>
                <w14:ligatures w14:val="none"/>
              </w:rPr>
              <w:t> </w:t>
            </w:r>
          </w:p>
          <w:p w14:paraId="5C2BD486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Keleti Károly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Faculty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Business and Management </w:t>
            </w:r>
          </w:p>
          <w:p w14:paraId="1884FBD0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Department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Economics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66D3B957" w14:textId="77777777" w:rsidTr="004E7999">
        <w:trPr>
          <w:trHeight w:val="5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972BE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Way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Assessments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The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successful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completion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followed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successful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passing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</w:tc>
      </w:tr>
      <w:tr w:rsidR="004E7999" w:rsidRPr="004E7999" w14:paraId="5F788E88" w14:textId="77777777" w:rsidTr="004E7999">
        <w:trPr>
          <w:trHeight w:val="2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7A2209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Course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EC6DFC8" w14:textId="77777777" w:rsidTr="004E7999">
        <w:trPr>
          <w:trHeight w:val="222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00DA63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Financial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conditions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businesses. Main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types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characteristics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decisions. The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objectives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decisions.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Interests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management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owners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Equity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components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External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elements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decisions.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strategy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principles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external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Interpretation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cost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Decision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decision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criteria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Static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dynamic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their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Risks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associated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inventory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cash management.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Liquidity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companies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Assessing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performance. </w:t>
            </w:r>
          </w:p>
        </w:tc>
      </w:tr>
      <w:tr w:rsidR="004E7999" w:rsidRPr="004E7999" w14:paraId="2C361F27" w14:textId="77777777" w:rsidTr="004E7999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83D100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Detailed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subject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schedule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61F5C291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18C3131" w14:textId="77777777" w:rsidTr="004E7999">
        <w:trPr>
          <w:trHeight w:val="51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5D2EA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Education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weeks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93A3D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Topics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for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lectures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practices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3C080914" w14:textId="77777777" w:rsidTr="004E7999">
        <w:trPr>
          <w:trHeight w:val="31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480888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7C1A41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Financial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enterprises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3D679D9" w14:textId="77777777" w:rsidTr="004E7999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11976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4A8B80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4E7999" w:rsidRPr="004E7999" w14:paraId="022C338C" w14:textId="77777777" w:rsidTr="004E7999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0D7D8F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69703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Sources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 </w:t>
            </w:r>
          </w:p>
        </w:tc>
      </w:tr>
      <w:tr w:rsidR="004E7999" w:rsidRPr="004E7999" w14:paraId="709A99C1" w14:textId="77777777" w:rsidTr="004E7999">
        <w:trPr>
          <w:trHeight w:val="5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23316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2EB9CC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role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depreciation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26A0E4B3" w14:textId="77777777" w:rsidTr="004E7999">
        <w:trPr>
          <w:trHeight w:val="24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09685D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5. 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F59D50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Capital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structure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8B72016" w14:textId="77777777" w:rsidTr="004E7999">
        <w:trPr>
          <w:trHeight w:val="27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26A51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6. 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55D40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Cost of Capital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Leverage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/ Mid-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term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53AA7F8F" w14:textId="77777777" w:rsidTr="004E7999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56E2E8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7. 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B9BF3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085DC645" w14:textId="77777777" w:rsidTr="004E7999">
        <w:trPr>
          <w:trHeight w:val="16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EC7953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8. 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F73FF7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calculations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risk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971DDDD" w14:textId="77777777" w:rsidTr="004E7999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8BE8E3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9. 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71F932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Valuation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liquidity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1774823F" w14:textId="77777777" w:rsidTr="004E7999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933F0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10. 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2A510E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return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profitability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efficiency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942C02C" w14:textId="77777777" w:rsidTr="004E7999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B55D89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D248E2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funds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inventory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 </w:t>
            </w:r>
          </w:p>
        </w:tc>
      </w:tr>
      <w:tr w:rsidR="004E7999" w:rsidRPr="004E7999" w14:paraId="6CAE0D55" w14:textId="77777777" w:rsidTr="004E7999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D3290F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12. 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DAEC74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capital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receivables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management, cash management </w:t>
            </w:r>
          </w:p>
        </w:tc>
      </w:tr>
      <w:tr w:rsidR="004E7999" w:rsidRPr="004E7999" w14:paraId="3328553D" w14:textId="77777777" w:rsidTr="004E7999">
        <w:trPr>
          <w:trHeight w:val="34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4264FF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2972DD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I. </w:t>
            </w:r>
          </w:p>
        </w:tc>
      </w:tr>
      <w:tr w:rsidR="004E7999" w:rsidRPr="004E7999" w14:paraId="0BBA435A" w14:textId="77777777" w:rsidTr="004E7999">
        <w:trPr>
          <w:trHeight w:val="330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ACD8B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8C12CF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II. </w:t>
            </w:r>
          </w:p>
        </w:tc>
      </w:tr>
      <w:tr w:rsidR="004E7999" w:rsidRPr="004E7999" w14:paraId="0ED958BA" w14:textId="77777777" w:rsidTr="004E7999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B6975C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Mid-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term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requirements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2693AB60" w14:textId="77777777" w:rsidTr="004E7999">
        <w:trPr>
          <w:trHeight w:val="27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2D82CE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1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examination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minimum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50%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43FFEB42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- 2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examinations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minimum of 50%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4BF11553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tests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unit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minimum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50%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given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deadline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7ACBDC87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Absence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classes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must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not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exceed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specified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TVSZ.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79D81CE7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performance is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assessed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five-point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scale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  <w:p w14:paraId="72D9BF7A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5FD8332C" w14:textId="77777777" w:rsidTr="004E7999">
        <w:trPr>
          <w:trHeight w:val="52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245B0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2B0E290" w14:textId="77777777" w:rsidTr="004E7999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300EB5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lastRenderedPageBreak/>
              <w:t>Midterm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papers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submissions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: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33F0FFB5" w14:textId="77777777" w:rsidTr="004E7999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F0799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1. 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766AE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5209F143" w14:textId="77777777" w:rsidTr="004E7999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8E9507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2.  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F7F1F3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investments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665A282C" w14:textId="77777777" w:rsidTr="004E7999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796616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3. 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E5685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70CD66F" w14:textId="77777777" w:rsidTr="004E7999">
        <w:trPr>
          <w:trHeight w:val="255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4037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4. </w:t>
            </w:r>
          </w:p>
        </w:tc>
        <w:tc>
          <w:tcPr>
            <w:tcW w:w="8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6B4A5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77C3AFA2" w14:textId="77777777" w:rsidTr="004E7999">
        <w:trPr>
          <w:trHeight w:val="25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8B5EE1" w14:textId="77777777" w:rsidR="004E7999" w:rsidRPr="004E7999" w:rsidRDefault="004E7999" w:rsidP="004E79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The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signature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requirement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exam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mark:</w:t>
            </w:r>
            <w:r w:rsidRPr="004E7999"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43A7978" w14:textId="77777777" w:rsidTr="004E7999">
        <w:trPr>
          <w:trHeight w:val="88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5C826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 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1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examination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 minimum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50%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during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, </w:t>
            </w:r>
          </w:p>
          <w:p w14:paraId="0F4C1BA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- 2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examinations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 minimum of 50%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, </w:t>
            </w:r>
          </w:p>
          <w:p w14:paraId="75CE3BFF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final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tests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unit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study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a minimum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50%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by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given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deadline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, </w:t>
            </w:r>
          </w:p>
          <w:p w14:paraId="03E08D6B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Absence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from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classes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must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not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exceed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level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specified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TVSZ. </w:t>
            </w:r>
          </w:p>
          <w:p w14:paraId="589DE503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 </w:t>
            </w:r>
          </w:p>
          <w:p w14:paraId="3C678533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Evaluation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semester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: </w:t>
            </w:r>
          </w:p>
          <w:p w14:paraId="6A6DB896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0-50%: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unsatisfactory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(1); </w:t>
            </w:r>
          </w:p>
          <w:p w14:paraId="0E4F4224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51-62 %: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satisfactory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(2); </w:t>
            </w:r>
          </w:p>
          <w:p w14:paraId="11A904E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63-74%: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average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(3); </w:t>
            </w:r>
          </w:p>
          <w:p w14:paraId="1C2E7AC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75-86 %: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good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(4); </w:t>
            </w:r>
          </w:p>
          <w:p w14:paraId="3E29AC44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87-100%: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>excellent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color w:val="000000"/>
                <w:kern w:val="0"/>
                <w:lang w:eastAsia="hu-HU"/>
                <w14:ligatures w14:val="none"/>
              </w:rPr>
              <w:t xml:space="preserve"> (5). </w:t>
            </w:r>
          </w:p>
          <w:p w14:paraId="5FC28378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0F6E9C01" w14:textId="77777777" w:rsidTr="004E7999">
        <w:trPr>
          <w:trHeight w:val="33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2D97F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Professional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competences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 xml:space="preserve"> be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t>acquired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601591E5" w14:textId="77777777" w:rsidTr="004E7999">
        <w:trPr>
          <w:trHeight w:val="495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3950D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a.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0459E087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rules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ethical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standards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a project, team,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project management. </w:t>
            </w:r>
          </w:p>
          <w:p w14:paraId="0707557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Mastered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written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effective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communication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tabular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graphical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ways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data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F6769F6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Possess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vocabulary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your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mother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tongue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least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one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7D58DC21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5501CF0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b.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417129A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Plan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economic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small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businesses and business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manage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control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2D58804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Using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studied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he/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identifies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facts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basic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draws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conclusions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critical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prepares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proposals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makes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decisions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routine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unfamiliar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contexts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both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national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international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73EFB7D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group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after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gaining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practical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experience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leads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evaluates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monitors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activities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0642CB5F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 He/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proposals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positions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formulated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from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conceptual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theoretical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point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view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orally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gram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and in</w:t>
            </w:r>
            <w:proofErr w:type="gram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writing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Hungarian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in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foreign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language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according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rules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communication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4B80B0A3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3052EBD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c.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attitude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18DED41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interests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quality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he/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is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problem-sensitive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proactive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constructive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cooperative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proactive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group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77C3301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Receptive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information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skills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methodologies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open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new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requiring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cooperation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Seeks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develop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knowledge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working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relationships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cooperation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colleagues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2BD785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29BF812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d.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  <w:p w14:paraId="32CB325A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Under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general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supervision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carries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out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defined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job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description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38577778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Assumes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responsibility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analyses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conclusions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decisions. </w:t>
            </w:r>
          </w:p>
          <w:p w14:paraId="0E8F0918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member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projects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teams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departments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, he/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she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carries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out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his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her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tasks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autonomously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205C90AC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lastRenderedPageBreak/>
              <w:t xml:space="preserve">-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Giving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presentations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leading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discussions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Participates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independently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responsibly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in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professional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fora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within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and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outside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the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organisation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. </w:t>
            </w:r>
          </w:p>
          <w:p w14:paraId="1A26DDBE" w14:textId="77777777" w:rsidR="004E7999" w:rsidRPr="004E7999" w:rsidRDefault="004E7999" w:rsidP="004E79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0B2C12F0" w14:textId="77777777" w:rsidTr="004E7999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8AF029" w14:textId="77777777" w:rsidR="004E7999" w:rsidRPr="004E7999" w:rsidRDefault="004E7999" w:rsidP="004E7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b/>
                <w:bCs/>
                <w:kern w:val="0"/>
                <w:lang w:eastAsia="hu-HU"/>
                <w14:ligatures w14:val="none"/>
              </w:rPr>
              <w:lastRenderedPageBreak/>
              <w:t>Literature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  <w:tr w:rsidR="004E7999" w:rsidRPr="004E7999" w14:paraId="409BFC5C" w14:textId="77777777" w:rsidTr="004E7999">
        <w:trPr>
          <w:trHeight w:val="390"/>
        </w:trPr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F43F3" w14:textId="77777777" w:rsidR="004E7999" w:rsidRPr="004E7999" w:rsidRDefault="004E7999" w:rsidP="004E7999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Brealey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R. A.,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Myers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S. C., Allen, F. (2016):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Principles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of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12th Edition.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Irwin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/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McGraw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-Hill.  </w:t>
            </w:r>
          </w:p>
          <w:p w14:paraId="743E950B" w14:textId="77777777" w:rsidR="004E7999" w:rsidRPr="004E7999" w:rsidRDefault="004E7999" w:rsidP="004E7999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Jonathan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Berk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Peter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DeMarzo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(2019):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Pearson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Education Limited </w:t>
            </w:r>
          </w:p>
          <w:p w14:paraId="1FE8CA0C" w14:textId="77777777" w:rsidR="004E7999" w:rsidRPr="004E7999" w:rsidRDefault="004E7999" w:rsidP="004E7999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Aswath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Damodaran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(2010):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Applied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corporate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finance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 xml:space="preserve">, </w:t>
            </w:r>
            <w:proofErr w:type="spellStart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Panem</w:t>
            </w:r>
            <w:proofErr w:type="spellEnd"/>
            <w:r w:rsidRPr="004E7999"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  <w:t> </w:t>
            </w:r>
          </w:p>
        </w:tc>
      </w:tr>
    </w:tbl>
    <w:p w14:paraId="1F770C04" w14:textId="77777777" w:rsidR="004E7999" w:rsidRDefault="004E7999"/>
    <w:sectPr w:rsidR="0031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E5C"/>
    <w:multiLevelType w:val="multilevel"/>
    <w:tmpl w:val="D1F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189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99"/>
    <w:rsid w:val="004E7999"/>
    <w:rsid w:val="007A2FE4"/>
    <w:rsid w:val="00B00861"/>
    <w:rsid w:val="00D84623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6517"/>
  <w15:chartTrackingRefBased/>
  <w15:docId w15:val="{160F5F51-A8A3-48C5-8536-D35FBBC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4E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normaltextrun">
    <w:name w:val="normaltextrun"/>
    <w:basedOn w:val="Bekezdsalapbettpusa"/>
    <w:rsid w:val="004E7999"/>
  </w:style>
  <w:style w:type="character" w:customStyle="1" w:styleId="eop">
    <w:name w:val="eop"/>
    <w:basedOn w:val="Bekezdsalapbettpusa"/>
    <w:rsid w:val="004E7999"/>
  </w:style>
  <w:style w:type="character" w:customStyle="1" w:styleId="findhit">
    <w:name w:val="findhit"/>
    <w:basedOn w:val="Bekezdsalapbettpusa"/>
    <w:rsid w:val="004E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7" ma:contentTypeDescription="Új dokumentum létrehozása." ma:contentTypeScope="" ma:versionID="8495ebd4738762de5fd5506bc12a7c56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d8876717a4b88a7e16789ef2c120ef65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00AD8-82EF-401D-AA14-08553DF9D77A}"/>
</file>

<file path=customXml/itemProps2.xml><?xml version="1.0" encoding="utf-8"?>
<ds:datastoreItem xmlns:ds="http://schemas.openxmlformats.org/officeDocument/2006/customXml" ds:itemID="{D3F8EA50-8EF8-45BE-8948-CC9120103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Kozma-Loraszkó Andrea</dc:creator>
  <cp:keywords/>
  <dc:description/>
  <cp:lastModifiedBy>Kozma-Loraszkó Andrea</cp:lastModifiedBy>
  <cp:revision>1</cp:revision>
  <dcterms:created xsi:type="dcterms:W3CDTF">2023-11-13T13:39:00Z</dcterms:created>
  <dcterms:modified xsi:type="dcterms:W3CDTF">2023-11-13T13:41:00Z</dcterms:modified>
</cp:coreProperties>
</file>