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763"/>
        <w:gridCol w:w="620"/>
        <w:gridCol w:w="823"/>
        <w:gridCol w:w="2095"/>
        <w:gridCol w:w="2587"/>
      </w:tblGrid>
      <w:tr w:rsidR="00697072" w:rsidRPr="00697072" w14:paraId="4E321D70" w14:textId="77777777" w:rsidTr="00697072">
        <w:trPr>
          <w:trHeight w:val="600"/>
        </w:trPr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068A6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name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240B757C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Economics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 xml:space="preserve"> I.</w:t>
            </w: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6CCF8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code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B31BC0E" w14:textId="252AF52B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GKXKG2KBNF </w:t>
            </w:r>
          </w:p>
          <w:p w14:paraId="1E08448C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A7212" w14:textId="77777777" w:rsidR="00697072" w:rsidRPr="00697072" w:rsidRDefault="00697072" w:rsidP="00697072">
            <w:pPr>
              <w:spacing w:after="0" w:line="240" w:lineRule="auto"/>
              <w:ind w:left="-1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weekly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/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hours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    </w:t>
            </w: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336F3C1" w14:textId="521D021D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full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time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 2Lc+3Pr+0lab</w:t>
            </w:r>
          </w:p>
        </w:tc>
      </w:tr>
      <w:tr w:rsidR="00697072" w:rsidRPr="00697072" w14:paraId="6D21FE41" w14:textId="77777777" w:rsidTr="00697072">
        <w:trPr>
          <w:trHeight w:val="585"/>
        </w:trPr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021DC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Credits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5 </w:t>
            </w:r>
          </w:p>
          <w:p w14:paraId="613FDC65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9F7090C" w14:textId="77777777" w:rsidR="00697072" w:rsidRPr="00697072" w:rsidRDefault="00697072" w:rsidP="00697072">
            <w:pPr>
              <w:spacing w:after="0" w:line="240" w:lineRule="auto"/>
              <w:ind w:left="90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302F3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proofErr w:type="gram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Pre-requirement</w:t>
            </w:r>
            <w:proofErr w:type="spellEnd"/>
            <w:proofErr w:type="gram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 </w:t>
            </w:r>
          </w:p>
          <w:p w14:paraId="6B350C33" w14:textId="77777777" w:rsidR="00697072" w:rsidRPr="00697072" w:rsidRDefault="00697072" w:rsidP="00697072">
            <w:pPr>
              <w:spacing w:after="0" w:line="240" w:lineRule="auto"/>
              <w:ind w:left="114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14487CB4" w14:textId="77777777" w:rsidTr="00697072">
        <w:trPr>
          <w:trHeight w:val="570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3FC06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owner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</w:t>
            </w:r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1B884820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Dr. Valéria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Szerekes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3B436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Position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 </w:t>
            </w: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E656B7B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associate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professor 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95528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Department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name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 </w:t>
            </w:r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13A4A298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Keleti Károly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Business and Management </w:t>
            </w:r>
          </w:p>
          <w:p w14:paraId="2DFE6A80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Department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Economics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Finance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291FE266" w14:textId="77777777" w:rsidTr="00697072">
        <w:trPr>
          <w:trHeight w:val="5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E4D4D1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Way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Assessments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:</w:t>
            </w: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4C51E15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signature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at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least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50%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marks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of 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exam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exams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0F8A5A94" w14:textId="77777777" w:rsidTr="00697072">
        <w:trPr>
          <w:trHeight w:val="2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3D2391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Course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23EF6F8A" w14:textId="77777777" w:rsidTr="00697072">
        <w:trPr>
          <w:trHeight w:val="23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19EA1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Concept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needs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hierarchy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needs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Criticism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infinity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needs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Scarcity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compelling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force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resource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management. Free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goods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goods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The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principle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comparative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advantage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scarcity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Factors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labor,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natural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resources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capital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entrepreneur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information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Renewable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gram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non-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renewable</w:t>
            </w:r>
            <w:proofErr w:type="spellEnd"/>
            <w:proofErr w:type="gram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natural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resources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Production-possibility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frontier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interpretation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and shift.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actors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their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market relations,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circulation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model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Basic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questions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their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answers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coordination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mechanisms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Rational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decision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limits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rational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decision.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Opportunity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cost.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Marginal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Basic market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concepts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demand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supply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equilibrium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disequilibrium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Consumer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surplus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producer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surplus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welfare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welfare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loss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Factors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consumer decision: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price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utility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nominal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income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income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Demand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elasticity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indicators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price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elasticity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cross-price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elasticity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income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elasticity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Corporate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environment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stakeholders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'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expectations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company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periods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Technical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efficiency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efficiency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Short-term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function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marginal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average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Optimization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from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producer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side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isoquants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isocost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curve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growth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path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returns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scale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costs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Costs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according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accountability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profit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categories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Market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types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adaptation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competition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regulation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Factor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markets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labor market,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capital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market,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land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market.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State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involvement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microeconomics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Income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redistribution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problem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externalities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public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goods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</w:tc>
      </w:tr>
      <w:tr w:rsidR="00697072" w:rsidRPr="00697072" w14:paraId="7FDB5666" w14:textId="77777777" w:rsidTr="00697072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96CDEF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Detailed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schedule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3B672AA2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4195CF8C" w14:textId="77777777" w:rsidTr="00697072">
        <w:trPr>
          <w:trHeight w:val="51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8E872F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Education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weeks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E4E0EE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Topics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for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lectures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practices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6E5B10EF" w14:textId="77777777" w:rsidTr="00697072">
        <w:trPr>
          <w:trHeight w:val="31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47F378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54129F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Basic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terms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2AF75126" w14:textId="77777777" w:rsidTr="00697072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A5A35A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788E4A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Market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0E9A6463" w14:textId="77777777" w:rsidTr="00697072">
        <w:trPr>
          <w:trHeight w:val="16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F0F558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01294D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Factors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consumer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behavior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177CDC2D" w14:textId="77777777" w:rsidTr="00697072">
        <w:trPr>
          <w:trHeight w:val="5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09F5B7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245FD3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consumer optimum </w:t>
            </w:r>
          </w:p>
        </w:tc>
      </w:tr>
      <w:tr w:rsidR="00697072" w:rsidRPr="00697072" w14:paraId="3E57A04E" w14:textId="77777777" w:rsidTr="00697072">
        <w:trPr>
          <w:trHeight w:val="24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175881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AB2282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function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1BF236FD" w14:textId="77777777" w:rsidTr="00697072">
        <w:trPr>
          <w:trHeight w:val="27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ADAA53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6C11C3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Optimal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production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company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497E127A" w14:textId="77777777" w:rsidTr="00697072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3456E3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F6072D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Cost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functions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cost and profit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categories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32378E52" w14:textId="77777777" w:rsidTr="00697072">
        <w:trPr>
          <w:trHeight w:val="16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97B6F4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525FF1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perfect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competition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2698157E" w14:textId="77777777" w:rsidTr="00697072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5BBD9A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85804F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Analysis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pure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monopoly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oligopoly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market </w:t>
            </w:r>
          </w:p>
        </w:tc>
      </w:tr>
      <w:tr w:rsidR="00697072" w:rsidRPr="00697072" w14:paraId="5032E519" w14:textId="77777777" w:rsidTr="00697072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7D3E7E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D338B2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Market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comparison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competition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regulation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378EEDF7" w14:textId="77777777" w:rsidTr="00697072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8BC127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7DE389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Factor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market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optimization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labor market </w:t>
            </w:r>
          </w:p>
        </w:tc>
      </w:tr>
      <w:tr w:rsidR="00697072" w:rsidRPr="00697072" w14:paraId="09BAA071" w14:textId="77777777" w:rsidTr="00697072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4BE57D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12. 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FAE32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Capital market,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natural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resources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market,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income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distribution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700024C5" w14:textId="77777777" w:rsidTr="00697072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A9B9AF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4555FA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Market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failures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500518C4" w14:textId="77777777" w:rsidTr="00697072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8F884F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D2A86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problem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public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goods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3DC3B6F6" w14:textId="77777777" w:rsidTr="00697072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93F8FB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Mid-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term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210BBE4F" w14:textId="77777777" w:rsidTr="00697072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4EC5EC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7C27E445" w14:textId="77777777" w:rsidTr="00697072">
        <w:trPr>
          <w:trHeight w:val="52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0B2CA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lastRenderedPageBreak/>
              <w:t> </w:t>
            </w:r>
          </w:p>
        </w:tc>
      </w:tr>
      <w:tr w:rsidR="00697072" w:rsidRPr="00697072" w14:paraId="7072F23B" w14:textId="77777777" w:rsidTr="00697072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D12B2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Midterm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papers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submissions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</w:t>
            </w:r>
            <w:r w:rsidRPr="00697072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5F3B83F1" w14:textId="77777777" w:rsidTr="00697072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3AAC9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BA37B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During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is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8th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week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</w:tc>
      </w:tr>
      <w:tr w:rsidR="00697072" w:rsidRPr="00697072" w14:paraId="53FFE52E" w14:textId="77777777" w:rsidTr="00697072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1A1BA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602A3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36A5A572" w14:textId="77777777" w:rsidTr="00697072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7F7DF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CD78B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3ACD4928" w14:textId="77777777" w:rsidTr="00697072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8D7DD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DFDC5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6BCF516F" w14:textId="77777777" w:rsidTr="00697072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C4E28" w14:textId="77777777" w:rsidR="00697072" w:rsidRPr="00697072" w:rsidRDefault="00697072" w:rsidP="0069707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i/>
                <w:iCs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signature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used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mark:</w:t>
            </w:r>
            <w:r w:rsidRPr="00697072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6F8C441C" w14:textId="77777777" w:rsidTr="00697072">
        <w:trPr>
          <w:trHeight w:val="8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407BD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condition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for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signature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examination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admission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) is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successful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exam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participation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seminars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lectures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. In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absence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these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cannot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recognized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Method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replacement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can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completed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only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once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during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first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10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working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days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exam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period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if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exam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fee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is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paid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time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designated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instructor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. The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replacement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test is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covers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entire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semester's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curriculum. </w:t>
            </w:r>
          </w:p>
          <w:p w14:paraId="7D598D3C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Exam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method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exam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. The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assessment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solution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tasks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is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done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scoring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. The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tasks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are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theoretical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practical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. The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grade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for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successful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exam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is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follows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below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50%: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fail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(1); 50-62.5%: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pass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(2); 62.51–75%: </w:t>
            </w:r>
            <w:proofErr w:type="spellStart"/>
            <w:r w:rsidRPr="00697072">
              <w:rPr>
                <w:rFonts w:ascii="Georgia" w:eastAsia="Times New Roman" w:hAnsi="Georgia" w:cs="Segoe UI"/>
                <w:kern w:val="0"/>
                <w:sz w:val="20"/>
                <w:szCs w:val="20"/>
                <w:shd w:val="clear" w:color="auto" w:fill="FFFFFF"/>
                <w:lang w:eastAsia="hu-HU"/>
                <w14:ligatures w14:val="none"/>
              </w:rPr>
              <w:t>satisfactory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(3); 75.1–87.5%: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good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(4); 87.51-100%: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excellent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(5). </w:t>
            </w:r>
          </w:p>
        </w:tc>
      </w:tr>
      <w:tr w:rsidR="00697072" w:rsidRPr="00697072" w14:paraId="5AAEDE8E" w14:textId="77777777" w:rsidTr="00697072">
        <w:trPr>
          <w:trHeight w:val="33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DD630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Professional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competences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acquired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4D6738F9" w14:textId="77777777" w:rsidTr="00697072">
        <w:trPr>
          <w:trHeight w:val="49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CD5D1" w14:textId="77777777" w:rsidR="00697072" w:rsidRPr="00697072" w:rsidRDefault="00697072" w:rsidP="00697072">
            <w:pPr>
              <w:spacing w:after="0" w:line="240" w:lineRule="auto"/>
              <w:ind w:firstLine="195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a)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8C35970" w14:textId="77777777" w:rsidR="00697072" w:rsidRPr="00697072" w:rsidRDefault="00697072" w:rsidP="00697072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broad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concepts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theories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facts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national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international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contexts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relevant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actors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functions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processes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794B0576" w14:textId="77777777" w:rsidR="00697072" w:rsidRPr="00697072" w:rsidRDefault="00697072" w:rsidP="00697072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-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Acquire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theories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characteristics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micro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macro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levels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have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command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methods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information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gathering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mathematical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statistical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analysis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4E1D7B46" w14:textId="77777777" w:rsidR="00697072" w:rsidRPr="00697072" w:rsidRDefault="00697072" w:rsidP="00697072">
            <w:pPr>
              <w:spacing w:after="0" w:line="240" w:lineRule="auto"/>
              <w:ind w:firstLine="195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b)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abilities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C0F0C90" w14:textId="77777777" w:rsidR="00697072" w:rsidRPr="00697072" w:rsidRDefault="00697072" w:rsidP="00697072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Plan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activities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projects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small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businesses and business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manage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control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applying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theories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methods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learnt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, he/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identifies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facts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basic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relationships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draws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independent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conclusions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makes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critical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observations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prepares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proposals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decisions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makes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decisions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routine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partly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unfamiliar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contexts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both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national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international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4861CBE0" w14:textId="77777777" w:rsidR="00697072" w:rsidRPr="00697072" w:rsidRDefault="00697072" w:rsidP="00697072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 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Follows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interprets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global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international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business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processes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changes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policy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related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policies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legislation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relevant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field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their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effects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takes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them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gram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account in</w:t>
            </w:r>
            <w:proofErr w:type="gram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his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/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her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proposals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decisions. </w:t>
            </w:r>
          </w:p>
          <w:p w14:paraId="6AD728DD" w14:textId="77777777" w:rsidR="00697072" w:rsidRPr="00697072" w:rsidRDefault="00697072" w:rsidP="00697072">
            <w:pPr>
              <w:spacing w:after="0" w:line="240" w:lineRule="auto"/>
              <w:ind w:firstLine="195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c)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attitude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B4793FB" w14:textId="77777777" w:rsidR="00697072" w:rsidRPr="00697072" w:rsidRDefault="00697072" w:rsidP="00697072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 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In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effort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achieve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quality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, he/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is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problem-sensitive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proactive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constructive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cooperative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proactive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projects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team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6404DB06" w14:textId="77777777" w:rsidR="00697072" w:rsidRPr="00697072" w:rsidRDefault="00697072" w:rsidP="00697072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Receptive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new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information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new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skills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methodologies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open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new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tasks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responsibilities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requiring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autonomy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cooperation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29536307" w14:textId="77777777" w:rsidR="00697072" w:rsidRPr="00697072" w:rsidRDefault="00697072" w:rsidP="00697072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Seeks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develop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his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/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her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knowledge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working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relationships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in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cooperation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with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colleagues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7F0AC1F4" w14:textId="77777777" w:rsidR="00697072" w:rsidRPr="00697072" w:rsidRDefault="00697072" w:rsidP="00697072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    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Efforts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make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self-learning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means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to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achieve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their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goals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5ABFB99B" w14:textId="77777777" w:rsidR="00697072" w:rsidRPr="00697072" w:rsidRDefault="00697072" w:rsidP="00697072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d)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autonomy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responsibility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084054D7" w14:textId="77777777" w:rsidR="00697072" w:rsidRPr="00697072" w:rsidRDefault="00697072" w:rsidP="00697072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Independently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carries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out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tasks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defined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job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description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under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general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professional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supervision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  <w:p w14:paraId="2703744E" w14:textId="77777777" w:rsidR="00697072" w:rsidRPr="00697072" w:rsidRDefault="00697072" w:rsidP="00697072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    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Assumes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responsibility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his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/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her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analyses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conclusions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decisions. </w:t>
            </w:r>
          </w:p>
          <w:p w14:paraId="4A9190A7" w14:textId="77777777" w:rsidR="00697072" w:rsidRPr="00697072" w:rsidRDefault="00697072" w:rsidP="00697072">
            <w:pPr>
              <w:spacing w:after="0" w:line="240" w:lineRule="auto"/>
              <w:ind w:left="915" w:hanging="360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hu-HU"/>
                <w14:ligatures w14:val="none"/>
              </w:rPr>
              <w:t xml:space="preserve">         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Independently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leads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manages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department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group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company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small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enterprise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in an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economic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taking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responsibility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for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organisation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and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co-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workers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. </w:t>
            </w:r>
          </w:p>
        </w:tc>
      </w:tr>
      <w:tr w:rsidR="00697072" w:rsidRPr="00697072" w14:paraId="32BC5A97" w14:textId="77777777" w:rsidTr="00697072">
        <w:trPr>
          <w:trHeight w:val="39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018E4A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Literature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697072" w:rsidRPr="00697072" w14:paraId="32033665" w14:textId="77777777" w:rsidTr="00697072">
        <w:trPr>
          <w:trHeight w:val="39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EC250C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lastRenderedPageBreak/>
              <w:t xml:space="preserve">Varian, Hal R (2014).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Intermediate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Microeconomics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: A Modern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Approach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W. W. Norton &amp;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Company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. ISBN 978-0-393-92077-2.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44564787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Samuelson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Nordhaus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Economics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McGraw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-Hill, ISBN: 978-9389538038, 2019 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  <w:p w14:paraId="3D02DDC9" w14:textId="77777777" w:rsidR="00697072" w:rsidRPr="00697072" w:rsidRDefault="00697072" w:rsidP="0069707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hu-HU"/>
                <w14:ligatures w14:val="none"/>
              </w:rPr>
            </w:pP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Begg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Vernasca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Fischer,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Dornbusch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: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Economics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 xml:space="preserve">, </w:t>
            </w:r>
            <w:proofErr w:type="spellStart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McGraw</w:t>
            </w:r>
            <w:proofErr w:type="spellEnd"/>
            <w:r w:rsidRPr="00697072">
              <w:rPr>
                <w:rFonts w:ascii="Times New Roman" w:eastAsia="Times New Roman" w:hAnsi="Times New Roman" w:cs="Times New Roman"/>
                <w:b/>
                <w:bCs/>
                <w:kern w:val="0"/>
                <w:sz w:val="17"/>
                <w:szCs w:val="17"/>
                <w:shd w:val="clear" w:color="auto" w:fill="FFFFFF"/>
                <w:lang w:eastAsia="hu-HU"/>
                <w14:ligatures w14:val="none"/>
              </w:rPr>
              <w:t>-Hill Education ISBN: ‎ 978-0077129521, 2011</w:t>
            </w:r>
            <w:r w:rsidRPr="00697072"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hu-HU"/>
                <w14:ligatures w14:val="none"/>
              </w:rPr>
              <w:t> </w:t>
            </w:r>
          </w:p>
        </w:tc>
      </w:tr>
    </w:tbl>
    <w:p w14:paraId="1AD554D4" w14:textId="77777777" w:rsidR="00697072" w:rsidRDefault="00697072"/>
    <w:sectPr w:rsidR="0031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72"/>
    <w:rsid w:val="00697072"/>
    <w:rsid w:val="007A2FE4"/>
    <w:rsid w:val="00B00861"/>
    <w:rsid w:val="00D84623"/>
    <w:rsid w:val="00F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1F5F"/>
  <w15:chartTrackingRefBased/>
  <w15:docId w15:val="{501149CC-B230-4282-8073-92FF10D2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69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paragraph">
    <w:name w:val="paragraph"/>
    <w:basedOn w:val="Norml"/>
    <w:rsid w:val="0069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textrun">
    <w:name w:val="textrun"/>
    <w:basedOn w:val="Bekezdsalapbettpusa"/>
    <w:rsid w:val="00697072"/>
  </w:style>
  <w:style w:type="character" w:customStyle="1" w:styleId="normaltextrun">
    <w:name w:val="normaltextrun"/>
    <w:basedOn w:val="Bekezdsalapbettpusa"/>
    <w:rsid w:val="00697072"/>
  </w:style>
  <w:style w:type="character" w:customStyle="1" w:styleId="eop">
    <w:name w:val="eop"/>
    <w:basedOn w:val="Bekezdsalapbettpusa"/>
    <w:rsid w:val="00697072"/>
  </w:style>
  <w:style w:type="character" w:customStyle="1" w:styleId="findhit">
    <w:name w:val="findhit"/>
    <w:basedOn w:val="Bekezdsalapbettpusa"/>
    <w:rsid w:val="0069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7" ma:contentTypeDescription="Új dokumentum létrehozása." ma:contentTypeScope="" ma:versionID="8495ebd4738762de5fd5506bc12a7c56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d8876717a4b88a7e16789ef2c120ef65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91C10-0E5F-4505-94A2-3D643D446DD8}"/>
</file>

<file path=customXml/itemProps2.xml><?xml version="1.0" encoding="utf-8"?>
<ds:datastoreItem xmlns:ds="http://schemas.openxmlformats.org/officeDocument/2006/customXml" ds:itemID="{24FCD10B-E85E-4616-8A8A-E6C27F631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Kozma-Loraszkó Andrea</dc:creator>
  <cp:keywords/>
  <dc:description/>
  <cp:lastModifiedBy>Kozma-Loraszkó Andrea</cp:lastModifiedBy>
  <cp:revision>1</cp:revision>
  <dcterms:created xsi:type="dcterms:W3CDTF">2023-11-13T13:58:00Z</dcterms:created>
  <dcterms:modified xsi:type="dcterms:W3CDTF">2023-11-13T13:59:00Z</dcterms:modified>
</cp:coreProperties>
</file>