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769"/>
        <w:gridCol w:w="621"/>
        <w:gridCol w:w="829"/>
        <w:gridCol w:w="2078"/>
        <w:gridCol w:w="2590"/>
      </w:tblGrid>
      <w:tr w:rsidR="00C80138" w:rsidRPr="00C80138" w14:paraId="74BBF93E" w14:textId="77777777" w:rsidTr="00C80138">
        <w:trPr>
          <w:trHeight w:val="600"/>
        </w:trPr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2FAE4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name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10FAD28" w14:textId="5534CCCD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 xml:space="preserve">International trade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knowledge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s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2B771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code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AFD749B" w14:textId="6CEFE80C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GUEIT2CBNF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F4AE2" w14:textId="77777777" w:rsidR="00C80138" w:rsidRPr="00C80138" w:rsidRDefault="00C80138" w:rsidP="00C80138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weekly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/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hours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    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00987B39" w14:textId="4AA60D5E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full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time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1Lc+2Pr+0lab </w:t>
            </w:r>
          </w:p>
        </w:tc>
      </w:tr>
      <w:tr w:rsidR="00C80138" w:rsidRPr="00C80138" w14:paraId="5BBDA0E5" w14:textId="77777777" w:rsidTr="00C80138">
        <w:trPr>
          <w:trHeight w:val="585"/>
        </w:trPr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5C0EC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Credits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4 </w:t>
            </w:r>
          </w:p>
          <w:p w14:paraId="76D71DC9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colloquium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359E921E" w14:textId="77777777" w:rsidR="00C80138" w:rsidRPr="00C80138" w:rsidRDefault="00C80138" w:rsidP="00C80138">
            <w:pPr>
              <w:spacing w:after="0" w:line="240" w:lineRule="auto"/>
              <w:ind w:left="90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86A88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proofErr w:type="gram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Pre-requirement</w:t>
            </w:r>
            <w:proofErr w:type="spellEnd"/>
            <w:proofErr w:type="gram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 </w:t>
            </w:r>
          </w:p>
          <w:p w14:paraId="1DFBB0E2" w14:textId="77777777" w:rsidR="00C80138" w:rsidRPr="00C80138" w:rsidRDefault="00C80138" w:rsidP="00C80138">
            <w:pPr>
              <w:spacing w:after="0" w:line="240" w:lineRule="auto"/>
              <w:ind w:left="114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45B159FF" w14:textId="77777777" w:rsidTr="00C80138">
        <w:trPr>
          <w:trHeight w:val="570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26662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owner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</w:t>
            </w:r>
            <w:r w:rsidRPr="00C80138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66AE745F" w14:textId="77777777" w:rsidR="00C80138" w:rsidRPr="00C80138" w:rsidRDefault="00C80138" w:rsidP="00C80138">
            <w:pPr>
              <w:spacing w:after="0" w:line="240" w:lineRule="auto"/>
              <w:ind w:right="24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Prof. Dr. József Fogarasi 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3583F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Beosztás: 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44D4CC3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professor 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6D9E9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Department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name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 </w:t>
            </w:r>
            <w:r w:rsidRPr="00C80138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5462B043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Keleti Károly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Business and Management </w:t>
            </w:r>
          </w:p>
          <w:p w14:paraId="6910D467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Department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of Marketing and Business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Sciences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2D12905C" w14:textId="77777777" w:rsidTr="00C80138">
        <w:trPr>
          <w:trHeight w:val="5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658AA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Way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Assessments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: 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1D14411C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70016133" w14:textId="77777777" w:rsidTr="00C80138">
        <w:trPr>
          <w:trHeight w:val="2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38F44F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Course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53BBB6D2" w14:textId="77777777" w:rsidTr="00C80138">
        <w:trPr>
          <w:trHeight w:val="262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ACDF2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aim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this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course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is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explain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modern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theoretical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foundations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institutional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background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trade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operations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where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students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gain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understand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drivers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trade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transactions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Main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topics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comprise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fundamental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models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characteristics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microeconomic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macroeconomic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environment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trade: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comparative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advantages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intra-industry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inter-industry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trade,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standard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model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trade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trade;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external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scale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scale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export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outsourcing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multinational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trade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exchange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rates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trade,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growth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sustainability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Tools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institutions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trade </w:t>
            </w:r>
            <w:proofErr w:type="gram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policy in</w:t>
            </w:r>
            <w:proofErr w:type="gram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world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European Union. </w:t>
            </w:r>
          </w:p>
        </w:tc>
      </w:tr>
      <w:tr w:rsidR="00C80138" w:rsidRPr="00C80138" w14:paraId="458D760B" w14:textId="77777777" w:rsidTr="00C80138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618482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Detailed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schedule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2F25507C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70FE161B" w14:textId="77777777" w:rsidTr="00C80138">
        <w:trPr>
          <w:trHeight w:val="51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F66B65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Education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weeks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82F502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Topics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for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lectures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practices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021E2A10" w14:textId="77777777" w:rsidTr="00C80138">
        <w:trPr>
          <w:trHeight w:val="45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A2F57B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B04A46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Introduction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 </w:t>
            </w:r>
          </w:p>
        </w:tc>
      </w:tr>
      <w:tr w:rsidR="00C80138" w:rsidRPr="00C80138" w14:paraId="4FDDBFCA" w14:textId="77777777" w:rsidTr="00C80138">
        <w:trPr>
          <w:trHeight w:val="45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057FD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7C7D3F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Trade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patterns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European Union and World </w:t>
            </w:r>
          </w:p>
        </w:tc>
      </w:tr>
      <w:tr w:rsidR="00C80138" w:rsidRPr="00C80138" w14:paraId="07377EE2" w14:textId="77777777" w:rsidTr="00C80138">
        <w:trPr>
          <w:trHeight w:val="45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13836D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5944F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Labour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productivity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Comparative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Advantage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– The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Ricardian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Model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1A2F8E5B" w14:textId="77777777" w:rsidTr="00C80138">
        <w:trPr>
          <w:trHeight w:val="45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0B51F4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540424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Comparative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Advantage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–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Specific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Income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Distribution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;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Resources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Trade </w:t>
            </w:r>
          </w:p>
        </w:tc>
      </w:tr>
      <w:tr w:rsidR="00C80138" w:rsidRPr="00C80138" w14:paraId="4F1B6F3D" w14:textId="77777777" w:rsidTr="00C80138">
        <w:trPr>
          <w:trHeight w:val="45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74F228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7AABBD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Standard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Model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Trade </w:t>
            </w:r>
          </w:p>
        </w:tc>
      </w:tr>
      <w:tr w:rsidR="00C80138" w:rsidRPr="00C80138" w14:paraId="146325D3" w14:textId="77777777" w:rsidTr="00C80138">
        <w:trPr>
          <w:trHeight w:val="45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87617B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B3A238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External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Scale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International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Location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21FF716C" w14:textId="77777777" w:rsidTr="00C80138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AEBD36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9D84E0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First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evaluation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 </w:t>
            </w:r>
          </w:p>
        </w:tc>
      </w:tr>
      <w:tr w:rsidR="00C80138" w:rsidRPr="00C80138" w14:paraId="325230F3" w14:textId="77777777" w:rsidTr="00C80138">
        <w:trPr>
          <w:trHeight w:val="4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F1339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816D7D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Firms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Global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Export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Outsourcing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Multinational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1B656A27" w14:textId="77777777" w:rsidTr="00C80138">
        <w:trPr>
          <w:trHeight w:val="4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2C9A45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270130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 Instruments of International Trade Policy </w:t>
            </w:r>
          </w:p>
        </w:tc>
      </w:tr>
      <w:tr w:rsidR="00C80138" w:rsidRPr="00C80138" w14:paraId="3198920F" w14:textId="77777777" w:rsidTr="00C80138">
        <w:trPr>
          <w:trHeight w:val="4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A61A3C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92EE3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Risks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Risk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International Trade </w:t>
            </w:r>
          </w:p>
        </w:tc>
      </w:tr>
      <w:tr w:rsidR="00C80138" w:rsidRPr="00C80138" w14:paraId="035DAB0B" w14:textId="77777777" w:rsidTr="00C80138">
        <w:trPr>
          <w:trHeight w:val="4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2809E3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102B66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International Trade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Foreign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Exchange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Rates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44505F3B" w14:textId="77777777" w:rsidTr="00C80138">
        <w:trPr>
          <w:trHeight w:val="4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77874F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12. 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8EB205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Impact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International Trade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Growth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Sustainability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 </w:t>
            </w:r>
          </w:p>
        </w:tc>
      </w:tr>
      <w:tr w:rsidR="00C80138" w:rsidRPr="00C80138" w14:paraId="300B8264" w14:textId="77777777" w:rsidTr="00C80138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62262F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5FCB6B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Second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evaluation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 </w:t>
            </w:r>
          </w:p>
        </w:tc>
      </w:tr>
      <w:tr w:rsidR="00C80138" w:rsidRPr="00C80138" w14:paraId="4E9717B2" w14:textId="77777777" w:rsidTr="00C80138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960ADA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2B137A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Evaluation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402141DB" w14:textId="77777777" w:rsidTr="00C80138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74E27B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Mid-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term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25D57DC2" w14:textId="77777777" w:rsidTr="00C80138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E838BD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440ADB37" w14:textId="77777777" w:rsidTr="00C80138">
        <w:trPr>
          <w:trHeight w:val="52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63FD1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676943FC" w14:textId="77777777" w:rsidTr="00C80138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89FD9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lastRenderedPageBreak/>
              <w:t>Midterm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papers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submissions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</w:t>
            </w:r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231B2AB8" w14:textId="77777777" w:rsidTr="00C80138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21A00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C4AB6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two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colloquium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tests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during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 </w:t>
            </w:r>
          </w:p>
        </w:tc>
      </w:tr>
      <w:tr w:rsidR="00C80138" w:rsidRPr="00C80138" w14:paraId="3A551BB1" w14:textId="77777777" w:rsidTr="00C80138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29F52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6FBC1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576E9D58" w14:textId="77777777" w:rsidTr="00C80138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42373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0DDED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2F69E456" w14:textId="77777777" w:rsidTr="00C80138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7276A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FDD4E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45634D2B" w14:textId="77777777" w:rsidTr="00C80138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97968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used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mark:</w:t>
            </w:r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3F13D202" w14:textId="77777777" w:rsidTr="00C80138">
        <w:trPr>
          <w:trHeight w:val="8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441EA" w14:textId="77777777" w:rsidR="00C80138" w:rsidRPr="00C80138" w:rsidRDefault="00C80138" w:rsidP="00C801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is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participate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classworks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according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TVSZ.</w:t>
            </w:r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0BB178F1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colloquium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 is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average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two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test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evaluations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during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each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t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est</w:t>
            </w: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has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exceed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50% </w:t>
            </w:r>
          </w:p>
          <w:p w14:paraId="32795B3E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Evaluation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work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: </w:t>
            </w:r>
          </w:p>
          <w:p w14:paraId="74AE1B02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0-50%: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unsatisfactory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(1); </w:t>
            </w:r>
          </w:p>
          <w:p w14:paraId="564F127D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51-62 %: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satisfactory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(2); </w:t>
            </w:r>
          </w:p>
          <w:p w14:paraId="32851B81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63-74%: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average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(3); </w:t>
            </w:r>
          </w:p>
          <w:p w14:paraId="377CF264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75-86 %: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good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(4); </w:t>
            </w:r>
          </w:p>
          <w:p w14:paraId="4F6BA797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87-100%: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excellent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(5). </w:t>
            </w:r>
          </w:p>
          <w:p w14:paraId="70092DB6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  <w:p w14:paraId="2B2B8180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38B72164" w14:textId="77777777" w:rsidTr="00C80138">
        <w:trPr>
          <w:trHeight w:val="33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C6DA4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Professional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competences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acquired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6AAD5887" w14:textId="77777777" w:rsidTr="00C80138">
        <w:trPr>
          <w:trHeight w:val="49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8DA0F" w14:textId="77777777" w:rsidR="00C80138" w:rsidRPr="00C80138" w:rsidRDefault="00C80138" w:rsidP="00C80138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a)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1225E64" w14:textId="77777777" w:rsidR="00C80138" w:rsidRPr="00C80138" w:rsidRDefault="00C80138" w:rsidP="00C80138">
            <w:pPr>
              <w:spacing w:after="0" w:line="240" w:lineRule="auto"/>
              <w:ind w:left="4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fundamental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broad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concepts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theories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facts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contexts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relevant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actors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functions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4E8C2693" w14:textId="77777777" w:rsidR="00C80138" w:rsidRPr="00C80138" w:rsidRDefault="00C80138" w:rsidP="00C80138">
            <w:pPr>
              <w:spacing w:after="0" w:line="240" w:lineRule="auto"/>
              <w:ind w:left="4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Acquire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theories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characteristics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micro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macro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levels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command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methods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information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gathering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mathematical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statistical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analysis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71B0C62B" w14:textId="77777777" w:rsidR="00C80138" w:rsidRPr="00C80138" w:rsidRDefault="00C80138" w:rsidP="00C80138">
            <w:pPr>
              <w:spacing w:after="0" w:line="240" w:lineRule="auto"/>
              <w:ind w:left="4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rules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ethical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standards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cooperation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projects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teams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, project management. </w:t>
            </w:r>
          </w:p>
          <w:p w14:paraId="25AF47A0" w14:textId="77777777" w:rsidR="00C80138" w:rsidRPr="00C80138" w:rsidRDefault="00C80138" w:rsidP="00C80138">
            <w:pPr>
              <w:spacing w:after="0" w:line="240" w:lineRule="auto"/>
              <w:ind w:left="4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Comprehensive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facts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directions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boundaries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subject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area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trade and marketing,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structure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functioning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interrelationships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behaviour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actors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external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environmental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behavioural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informational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motivational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factors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that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determine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505B7D19" w14:textId="77777777" w:rsidR="00C80138" w:rsidRPr="00C80138" w:rsidRDefault="00C80138" w:rsidP="00C80138">
            <w:pPr>
              <w:spacing w:after="0" w:line="240" w:lineRule="auto"/>
              <w:ind w:left="4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main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contexts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theories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concepts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related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field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trade and marketing. </w:t>
            </w:r>
          </w:p>
          <w:p w14:paraId="60DAF5DB" w14:textId="77777777" w:rsidR="00C80138" w:rsidRPr="00C80138" w:rsidRDefault="00C80138" w:rsidP="00C80138">
            <w:pPr>
              <w:spacing w:after="0" w:line="240" w:lineRule="auto"/>
              <w:ind w:left="4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Familiar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with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concept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tools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methodology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gram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marketing in</w:t>
            </w:r>
            <w:proofErr w:type="gram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business and non-profit sectors.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role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gram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marketing in</w:t>
            </w:r>
            <w:proofErr w:type="gram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operation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company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institution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relationship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marketing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with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other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functions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4B16C13A" w14:textId="77777777" w:rsidR="00C80138" w:rsidRPr="00C80138" w:rsidRDefault="00C80138" w:rsidP="00C80138">
            <w:pPr>
              <w:spacing w:after="0" w:line="240" w:lineRule="auto"/>
              <w:ind w:left="4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consumer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customer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behaviour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field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consumer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protection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42FFB2C6" w14:textId="77777777" w:rsidR="00C80138" w:rsidRPr="00C80138" w:rsidRDefault="00C80138" w:rsidP="00C80138">
            <w:pPr>
              <w:spacing w:after="0" w:line="240" w:lineRule="auto"/>
              <w:ind w:left="4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legal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ethical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requirements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sales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marketing.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functioning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commercial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enterprises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main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techniques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commercial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activity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.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logistics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667A3490" w14:textId="77777777" w:rsidR="00C80138" w:rsidRPr="00C80138" w:rsidRDefault="00C80138" w:rsidP="00C80138">
            <w:pPr>
              <w:spacing w:after="0" w:line="240" w:lineRule="auto"/>
              <w:ind w:left="45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Possess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vocabulary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your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mother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tongue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least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one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foreign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language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793F61F5" w14:textId="77777777" w:rsidR="00C80138" w:rsidRPr="00C80138" w:rsidRDefault="00C80138" w:rsidP="00C80138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  <w:r w:rsidRPr="00C801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b)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abilities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0F9DF88E" w14:textId="77777777" w:rsidR="00C80138" w:rsidRPr="00C80138" w:rsidRDefault="00C80138" w:rsidP="00C80138">
            <w:pPr>
              <w:spacing w:after="0" w:line="240" w:lineRule="auto"/>
              <w:ind w:left="270" w:hanging="18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Follows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interprets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global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business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changes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policy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related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policies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legislation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relevant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field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their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effects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takes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gram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account in</w:t>
            </w:r>
            <w:proofErr w:type="gram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his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/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proposals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decisions. </w:t>
            </w:r>
          </w:p>
          <w:p w14:paraId="3A551F80" w14:textId="77777777" w:rsidR="00C80138" w:rsidRPr="00C80138" w:rsidRDefault="00C80138" w:rsidP="00C80138">
            <w:pPr>
              <w:spacing w:after="0" w:line="240" w:lineRule="auto"/>
              <w:ind w:left="270" w:hanging="18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manage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company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commercial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marketing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databases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secondary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marketing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research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information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data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use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specific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software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required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6EA64904" w14:textId="77777777" w:rsidR="00C80138" w:rsidRPr="00C80138" w:rsidRDefault="00C80138" w:rsidP="00C80138">
            <w:pPr>
              <w:spacing w:after="0" w:line="240" w:lineRule="auto"/>
              <w:ind w:left="270" w:hanging="18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Understand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use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typical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online and printed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literature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field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commerce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gram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marketing in</w:t>
            </w:r>
            <w:proofErr w:type="gram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Hungarian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foreign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languages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7C4BFE48" w14:textId="77777777" w:rsidR="00C80138" w:rsidRPr="00C80138" w:rsidRDefault="00C80138" w:rsidP="00C80138">
            <w:pPr>
              <w:spacing w:after="0" w:line="240" w:lineRule="auto"/>
              <w:ind w:left="36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lastRenderedPageBreak/>
              <w:t xml:space="preserve">- </w:t>
            </w:r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The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present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proposals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positions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professionally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formulated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from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conceptual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theoretical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point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view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orally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gram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and in</w:t>
            </w:r>
            <w:proofErr w:type="gram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writing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Hungarian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in a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foreign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language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according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rules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communication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0A671CA7" w14:textId="77777777" w:rsidR="00C80138" w:rsidRPr="00C80138" w:rsidRDefault="00C80138" w:rsidP="00C80138">
            <w:pPr>
              <w:spacing w:after="0" w:line="240" w:lineRule="auto"/>
              <w:ind w:left="36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identify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marketing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commercial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problems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plan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implement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solutions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them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30C2D5F6" w14:textId="77777777" w:rsidR="00C80138" w:rsidRPr="00C80138" w:rsidRDefault="00C80138" w:rsidP="00C80138">
            <w:pPr>
              <w:spacing w:after="0" w:line="240" w:lineRule="auto"/>
              <w:ind w:left="36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cooperate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with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other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fields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socio-economic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subsystems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3D97070C" w14:textId="77777777" w:rsidR="00C80138" w:rsidRPr="00C80138" w:rsidRDefault="00C80138" w:rsidP="00C80138">
            <w:pPr>
              <w:spacing w:after="0" w:line="240" w:lineRule="auto"/>
              <w:ind w:left="36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communicate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written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modern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info-communication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tools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a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foreign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language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 </w:t>
            </w:r>
          </w:p>
          <w:p w14:paraId="65F6388A" w14:textId="77777777" w:rsidR="00C80138" w:rsidRPr="00C80138" w:rsidRDefault="00C80138" w:rsidP="00C80138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c)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attitude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31E3F687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effort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achieve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quality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, he/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is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problem-sensitive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proactive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constructive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cooperative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proactive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projects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team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11755E34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Receptive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new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information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new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skills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methodologies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open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new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tasks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responsibilities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requiring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autonomy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cooperation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5EABBD77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Seeks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develop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his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/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relationships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cooperation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with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colleagues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7D90707E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Efforts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make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self-learning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means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achieve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their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goals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2938920D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Seeks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take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decisions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complex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unexpected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decision-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making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situations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taking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full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account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legal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ethical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standards. </w:t>
            </w:r>
          </w:p>
          <w:p w14:paraId="7A47D55C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Receptive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opinions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others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sectoral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regional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national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European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values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(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including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social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social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ecological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sustainability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aspects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 </w:t>
            </w:r>
          </w:p>
          <w:p w14:paraId="30D1260E" w14:textId="77777777" w:rsidR="00C80138" w:rsidRPr="00C80138" w:rsidRDefault="00C80138" w:rsidP="00C801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d)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autonomy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responsibility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2ADB5D5" w14:textId="77777777" w:rsidR="00C80138" w:rsidRPr="00C80138" w:rsidRDefault="00C80138" w:rsidP="00C80138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Independently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carries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out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tasks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defined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job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description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under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general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supervision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3D25A8E9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Assumes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responsibility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his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/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conclusions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decisions. </w:t>
            </w:r>
          </w:p>
          <w:p w14:paraId="68CDC823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Under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guidance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thinks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through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develops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comprehensive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specific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trade and marketing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technical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issues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based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available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resources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3983CA38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Assumes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responsibility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developing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justifying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views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trade and marketing. </w:t>
            </w:r>
          </w:p>
          <w:p w14:paraId="0FF1A894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Assume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responsibility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compliance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with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legal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ethical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standards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rules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relating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conduct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44DCEE43" w14:textId="77777777" w:rsidR="00C80138" w:rsidRPr="00C80138" w:rsidRDefault="00C80138" w:rsidP="00C80138">
            <w:pPr>
              <w:spacing w:after="0" w:line="240" w:lineRule="auto"/>
              <w:ind w:left="270" w:hanging="27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Gives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presentations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conducts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discussions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independently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.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Participates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independently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responsibly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forums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within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outside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</w:tc>
      </w:tr>
      <w:tr w:rsidR="00C80138" w:rsidRPr="00C80138" w14:paraId="47C93765" w14:textId="77777777" w:rsidTr="00C80138">
        <w:trPr>
          <w:trHeight w:val="39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2A2B3B" w14:textId="77777777" w:rsidR="00C80138" w:rsidRPr="00C80138" w:rsidRDefault="00C80138" w:rsidP="00C80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lastRenderedPageBreak/>
              <w:t>Literature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C80138" w:rsidRPr="00C80138" w14:paraId="1D298BCE" w14:textId="77777777" w:rsidTr="00C80138">
        <w:trPr>
          <w:trHeight w:val="39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5F0A0B" w14:textId="77777777" w:rsidR="00C80138" w:rsidRPr="00C80138" w:rsidRDefault="00C80138" w:rsidP="00C80138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Krugman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P. R.,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Obstfeld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M.,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Melitz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M. J. (2017): </w:t>
            </w:r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International Trade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Münich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Pearson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1210EE23" w14:textId="77777777" w:rsidR="00C80138" w:rsidRPr="00C80138" w:rsidRDefault="00C80138" w:rsidP="00C80138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Bhogal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T.,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Trivedi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A. (2019): </w:t>
            </w:r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International Trade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Finance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:</w:t>
            </w: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Pragmatic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Approach.London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Palgrave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MacMillan  </w:t>
            </w:r>
          </w:p>
          <w:p w14:paraId="2E8C79A6" w14:textId="77777777" w:rsidR="00C80138" w:rsidRPr="00C80138" w:rsidRDefault="00C80138" w:rsidP="00C80138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Bojnec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Š., Fertő, I., Fogarasi, J. (2014):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Quality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institutions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BRIC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countries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agro-food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exports.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China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Agricultural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Review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6(3): 379-394. </w:t>
            </w:r>
            <w:hyperlink r:id="rId5" w:tgtFrame="_blank" w:history="1">
              <w:r w:rsidRPr="00C80138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hu-HU"/>
                  <w14:ligatures w14:val="none"/>
                </w:rPr>
                <w:t>https://doi.org/10.1108/CAER-02-2013-0034</w:t>
              </w:r>
            </w:hyperlink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 </w:t>
            </w:r>
          </w:p>
          <w:p w14:paraId="5E23B357" w14:textId="77777777" w:rsidR="00C80138" w:rsidRPr="00C80138" w:rsidRDefault="00C80138" w:rsidP="00C80138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Fertő I.,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Bojnec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Š., Fogarasi J.,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Viira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A. H. (2020):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Agricultural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soft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budget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constraints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new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European Union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member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states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Journal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Institutional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16(1): 49-64, </w:t>
            </w:r>
            <w:hyperlink r:id="rId6" w:tgtFrame="_blank" w:history="1">
              <w:r w:rsidRPr="00C80138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hu-HU"/>
                  <w14:ligatures w14:val="none"/>
                </w:rPr>
                <w:t>https://doi.org/10.1017/S1744137418000395</w:t>
              </w:r>
            </w:hyperlink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1AA3E8E0" w14:textId="77777777" w:rsidR="00C80138" w:rsidRPr="00C80138" w:rsidRDefault="00C80138" w:rsidP="00C80138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Fogarasi, J., Fertő, I. (2022):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trade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impact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exchange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rate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volatility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institutional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quality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case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Central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European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countries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In: Fogarasi, J;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Bakucs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L Z (szerk.)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transformation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agri-rural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essays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honour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Mária Vincze. Budapest: Center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Regional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Studies</w:t>
            </w:r>
            <w:proofErr w:type="spellEnd"/>
            <w:r w:rsidRPr="00C8013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pp. 85-96. </w:t>
            </w:r>
          </w:p>
        </w:tc>
      </w:tr>
    </w:tbl>
    <w:p w14:paraId="314E7B9C" w14:textId="77777777" w:rsidR="00C80138" w:rsidRDefault="00C80138"/>
    <w:sectPr w:rsidR="003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B5F"/>
    <w:multiLevelType w:val="multilevel"/>
    <w:tmpl w:val="1DFC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0B05EB"/>
    <w:multiLevelType w:val="multilevel"/>
    <w:tmpl w:val="7BE6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9792218">
    <w:abstractNumId w:val="0"/>
  </w:num>
  <w:num w:numId="2" w16cid:durableId="97101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38"/>
    <w:rsid w:val="007A2FE4"/>
    <w:rsid w:val="00B00861"/>
    <w:rsid w:val="00C80138"/>
    <w:rsid w:val="00D84623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CDA8"/>
  <w15:chartTrackingRefBased/>
  <w15:docId w15:val="{D132BEB1-43F8-41C3-9706-020F0BD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C8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paragraph">
    <w:name w:val="paragraph"/>
    <w:basedOn w:val="Norml"/>
    <w:rsid w:val="00C8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textrun">
    <w:name w:val="textrun"/>
    <w:basedOn w:val="Bekezdsalapbettpusa"/>
    <w:rsid w:val="00C80138"/>
  </w:style>
  <w:style w:type="character" w:customStyle="1" w:styleId="normaltextrun">
    <w:name w:val="normaltextrun"/>
    <w:basedOn w:val="Bekezdsalapbettpusa"/>
    <w:rsid w:val="00C80138"/>
  </w:style>
  <w:style w:type="character" w:customStyle="1" w:styleId="eop">
    <w:name w:val="eop"/>
    <w:basedOn w:val="Bekezdsalapbettpusa"/>
    <w:rsid w:val="00C80138"/>
  </w:style>
  <w:style w:type="character" w:customStyle="1" w:styleId="findhit">
    <w:name w:val="findhit"/>
    <w:basedOn w:val="Bekezdsalapbettpusa"/>
    <w:rsid w:val="00C80138"/>
  </w:style>
  <w:style w:type="paragraph" w:customStyle="1" w:styleId="outlineelement">
    <w:name w:val="outlineelement"/>
    <w:basedOn w:val="Norml"/>
    <w:rsid w:val="00C8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C8013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801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7/S1744137418000395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oi.org/10.1108/CAER-02-2013-0034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7" ma:contentTypeDescription="Új dokumentum létrehozása." ma:contentTypeScope="" ma:versionID="8495ebd4738762de5fd5506bc12a7c56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d8876717a4b88a7e16789ef2c120ef65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8B4EDE-AD31-4095-8316-7CC9F843315A}"/>
</file>

<file path=customXml/itemProps2.xml><?xml version="1.0" encoding="utf-8"?>
<ds:datastoreItem xmlns:ds="http://schemas.openxmlformats.org/officeDocument/2006/customXml" ds:itemID="{AB613762-D9F4-476B-8D25-217E338911EF}"/>
</file>

<file path=customXml/itemProps3.xml><?xml version="1.0" encoding="utf-8"?>
<ds:datastoreItem xmlns:ds="http://schemas.openxmlformats.org/officeDocument/2006/customXml" ds:itemID="{D372B7BC-590E-45B6-A550-24437A56C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Kozma-Loraszkó Andrea</dc:creator>
  <cp:keywords/>
  <dc:description/>
  <cp:lastModifiedBy>Kozma-Loraszkó Andrea</cp:lastModifiedBy>
  <cp:revision>1</cp:revision>
  <dcterms:created xsi:type="dcterms:W3CDTF">2023-11-13T14:03:00Z</dcterms:created>
  <dcterms:modified xsi:type="dcterms:W3CDTF">2023-11-13T14:04:00Z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